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3031B30" w14:textId="77777777" w:rsidR="000330C4" w:rsidRPr="009A7949" w:rsidRDefault="000330C4" w:rsidP="009A79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7949">
        <w:rPr>
          <w:rFonts w:ascii="Arial" w:hAnsi="Arial" w:cs="Arial"/>
          <w:b/>
          <w:bCs/>
          <w:sz w:val="20"/>
          <w:szCs w:val="20"/>
        </w:rPr>
        <w:t>UVEITES</w:t>
      </w:r>
    </w:p>
    <w:p w14:paraId="6936D10F" w14:textId="5CABC82C" w:rsidR="000330C4" w:rsidRPr="00A90C71" w:rsidRDefault="00A90C71" w:rsidP="009A794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0C71">
        <w:rPr>
          <w:rFonts w:ascii="Arial" w:hAnsi="Arial" w:cs="Arial"/>
          <w:i/>
          <w:sz w:val="20"/>
          <w:szCs w:val="20"/>
        </w:rPr>
        <w:t>CHUV</w:t>
      </w:r>
    </w:p>
    <w:p w14:paraId="0F1B212B" w14:textId="1ED42180" w:rsidR="00626F54" w:rsidRPr="00152303" w:rsidRDefault="00626F54" w:rsidP="00A90C71">
      <w:pPr>
        <w:jc w:val="center"/>
        <w:rPr>
          <w:rFonts w:ascii="Arial" w:hAnsi="Arial" w:cs="Arial"/>
          <w:i/>
          <w:sz w:val="20"/>
          <w:szCs w:val="20"/>
        </w:rPr>
      </w:pPr>
      <w:r w:rsidRPr="00152303">
        <w:rPr>
          <w:rFonts w:ascii="Arial" w:hAnsi="Arial" w:cs="Arial"/>
          <w:i/>
          <w:sz w:val="20"/>
          <w:szCs w:val="20"/>
          <w:lang w:val="en-US"/>
        </w:rPr>
        <w:t xml:space="preserve">Arch </w:t>
      </w:r>
      <w:proofErr w:type="spellStart"/>
      <w:r w:rsidRPr="00152303">
        <w:rPr>
          <w:rFonts w:ascii="Arial" w:hAnsi="Arial" w:cs="Arial"/>
          <w:i/>
          <w:sz w:val="20"/>
          <w:szCs w:val="20"/>
          <w:lang w:val="en-US"/>
        </w:rPr>
        <w:t>ped</w:t>
      </w:r>
      <w:proofErr w:type="spellEnd"/>
      <w:r w:rsidRPr="00152303">
        <w:rPr>
          <w:rFonts w:ascii="Arial" w:hAnsi="Arial" w:cs="Arial"/>
          <w:i/>
          <w:sz w:val="20"/>
          <w:szCs w:val="20"/>
          <w:lang w:val="en-US"/>
        </w:rPr>
        <w:t>. 2011</w:t>
      </w:r>
    </w:p>
    <w:p w14:paraId="6EE184AD" w14:textId="6D49A7FC" w:rsidR="00A90C71" w:rsidRPr="00A90C71" w:rsidRDefault="00A90C71" w:rsidP="00A90C71">
      <w:pPr>
        <w:jc w:val="center"/>
        <w:rPr>
          <w:rFonts w:ascii="Arial" w:hAnsi="Arial" w:cs="Arial"/>
          <w:i/>
          <w:sz w:val="20"/>
          <w:szCs w:val="20"/>
        </w:rPr>
      </w:pPr>
      <w:r w:rsidRPr="00A90C71">
        <w:rPr>
          <w:rFonts w:ascii="Arial" w:hAnsi="Arial" w:cs="Arial"/>
          <w:i/>
          <w:sz w:val="20"/>
          <w:szCs w:val="20"/>
        </w:rPr>
        <w:t>FMS 2012 ; 12(38) : 739-741</w:t>
      </w:r>
    </w:p>
    <w:p w14:paraId="76FF175E" w14:textId="77777777" w:rsidR="004960D7" w:rsidRDefault="004960D7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33307912" w14:textId="77777777" w:rsidR="004960D7" w:rsidRDefault="004960D7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EPIDEMIOLOGIE</w:t>
      </w:r>
    </w:p>
    <w:p w14:paraId="65A16E32" w14:textId="77777777" w:rsidR="004960D7" w:rsidRDefault="004960D7" w:rsidP="004960D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Touche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65-120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enfants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 w:rsidRPr="004960D7">
        <w:rPr>
          <w:rFonts w:ascii="Arial" w:hAnsi="Arial" w:cs="Arial"/>
          <w:sz w:val="20"/>
          <w:szCs w:val="20"/>
          <w:lang w:val="en-US"/>
        </w:rPr>
        <w:t>an en Suisse</w:t>
      </w:r>
    </w:p>
    <w:p w14:paraId="7D0D5904" w14:textId="77777777" w:rsidR="004960D7" w:rsidRDefault="004960D7" w:rsidP="004960D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Responsable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30% des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cécités</w:t>
      </w:r>
      <w:proofErr w:type="spellEnd"/>
    </w:p>
    <w:p w14:paraId="041CDB07" w14:textId="187FB7F7" w:rsidR="004960D7" w:rsidRPr="004960D7" w:rsidRDefault="00C8163A" w:rsidP="004960D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Rôle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du HLA</w:t>
      </w:r>
    </w:p>
    <w:p w14:paraId="620B56A9" w14:textId="77777777" w:rsidR="004960D7" w:rsidRDefault="004960D7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6808774B" w14:textId="77777777" w:rsidR="004960D7" w:rsidRDefault="004960D7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27D579A6" w14:textId="77777777" w:rsidR="000330C4" w:rsidRDefault="004960D7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="000330C4">
        <w:rPr>
          <w:rFonts w:ascii="Arial" w:hAnsi="Arial" w:cs="Arial"/>
          <w:sz w:val="20"/>
          <w:szCs w:val="20"/>
          <w:u w:val="single"/>
          <w:lang w:val="en-US"/>
        </w:rPr>
        <w:t>YMPTÔMES</w:t>
      </w:r>
    </w:p>
    <w:p w14:paraId="43A8A361" w14:textId="71E799C8" w:rsidR="000330C4" w:rsidRPr="0078053E" w:rsidRDefault="000330C4" w:rsidP="00626F5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lang w:val="en-US"/>
        </w:rPr>
        <w:t xml:space="preserve">Se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méfier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car </w:t>
      </w:r>
      <w:r w:rsidR="00751190">
        <w:rPr>
          <w:rFonts w:ascii="Arial" w:hAnsi="Arial" w:cs="Arial"/>
          <w:sz w:val="20"/>
          <w:szCs w:val="20"/>
          <w:lang w:val="en-US"/>
        </w:rPr>
        <w:t xml:space="preserve">INSIDIEUX </w:t>
      </w:r>
      <w:proofErr w:type="gramStart"/>
      <w:r w:rsidR="00751190">
        <w:rPr>
          <w:rFonts w:ascii="Arial" w:hAnsi="Arial" w:cs="Arial"/>
          <w:sz w:val="20"/>
          <w:szCs w:val="20"/>
          <w:lang w:val="en-US"/>
        </w:rPr>
        <w:t>et</w:t>
      </w:r>
      <w:proofErr w:type="gramEnd"/>
      <w:r w:rsidR="0075119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163A">
        <w:rPr>
          <w:rFonts w:ascii="Arial" w:hAnsi="Arial" w:cs="Arial"/>
          <w:b/>
          <w:sz w:val="20"/>
          <w:szCs w:val="20"/>
          <w:lang w:val="en-US"/>
        </w:rPr>
        <w:t>peu</w:t>
      </w:r>
      <w:proofErr w:type="spellEnd"/>
      <w:r w:rsidRPr="00C8163A">
        <w:rPr>
          <w:rFonts w:ascii="Arial" w:hAnsi="Arial" w:cs="Arial"/>
          <w:b/>
          <w:sz w:val="20"/>
          <w:szCs w:val="20"/>
          <w:lang w:val="en-US"/>
        </w:rPr>
        <w:t xml:space="preserve"> de </w:t>
      </w:r>
      <w:proofErr w:type="spellStart"/>
      <w:r w:rsidRPr="00C8163A">
        <w:rPr>
          <w:rFonts w:ascii="Arial" w:hAnsi="Arial" w:cs="Arial"/>
          <w:b/>
          <w:sz w:val="20"/>
          <w:szCs w:val="20"/>
          <w:lang w:val="en-US"/>
        </w:rPr>
        <w:t>plaintes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chez les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enfants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de &lt; 12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ans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8053E">
        <w:rPr>
          <w:rFonts w:ascii="Arial" w:hAnsi="Arial" w:cs="Arial"/>
          <w:color w:val="FF0000"/>
          <w:sz w:val="20"/>
          <w:szCs w:val="20"/>
          <w:lang w:val="en-US"/>
        </w:rPr>
        <w:t>voir</w:t>
      </w:r>
      <w:proofErr w:type="spellEnd"/>
      <w:r w:rsidRPr="0078053E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78053E">
        <w:rPr>
          <w:rFonts w:ascii="Arial" w:hAnsi="Arial" w:cs="Arial"/>
          <w:color w:val="FF0000"/>
          <w:sz w:val="20"/>
          <w:szCs w:val="20"/>
          <w:lang w:val="en-US"/>
        </w:rPr>
        <w:t>complètement</w:t>
      </w:r>
      <w:proofErr w:type="spellEnd"/>
      <w:r w:rsidRPr="0078053E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78053E">
        <w:rPr>
          <w:rFonts w:ascii="Arial" w:hAnsi="Arial" w:cs="Arial"/>
          <w:color w:val="FF0000"/>
          <w:sz w:val="20"/>
          <w:szCs w:val="20"/>
          <w:lang w:val="en-US"/>
        </w:rPr>
        <w:t>silencieuse</w:t>
      </w:r>
      <w:proofErr w:type="spellEnd"/>
      <w:r w:rsidRPr="0078053E">
        <w:rPr>
          <w:rFonts w:ascii="Arial" w:hAnsi="Arial" w:cs="Arial"/>
          <w:color w:val="FF0000"/>
          <w:sz w:val="20"/>
          <w:szCs w:val="20"/>
          <w:lang w:val="en-US"/>
        </w:rPr>
        <w:t>!</w:t>
      </w:r>
    </w:p>
    <w:p w14:paraId="237E2A83" w14:textId="77777777" w:rsidR="00626F54" w:rsidRDefault="00C8163A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8163A">
        <w:rPr>
          <w:b/>
          <w:noProof/>
          <w:lang w:val="fr-CH" w:eastAsia="fr-CH"/>
        </w:rPr>
        <w:pict w14:anchorId="3C7AA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05pt;margin-top:4.85pt;width:81pt;height:54.5pt;z-index:251658240">
            <v:imagedata r:id="rId6" o:title="01901b"/>
          </v:shape>
        </w:pict>
      </w:r>
      <w:proofErr w:type="spellStart"/>
      <w:r w:rsidR="000330C4" w:rsidRPr="00C8163A">
        <w:rPr>
          <w:rFonts w:ascii="Arial" w:hAnsi="Arial" w:cs="Arial"/>
          <w:b/>
          <w:sz w:val="20"/>
          <w:szCs w:val="20"/>
          <w:lang w:val="en-US"/>
        </w:rPr>
        <w:t>Baisse</w:t>
      </w:r>
      <w:proofErr w:type="spellEnd"/>
      <w:r w:rsidR="000330C4" w:rsidRPr="00C816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0330C4" w:rsidRPr="00C8163A">
        <w:rPr>
          <w:rFonts w:ascii="Arial" w:hAnsi="Arial" w:cs="Arial"/>
          <w:b/>
          <w:sz w:val="20"/>
          <w:szCs w:val="20"/>
          <w:lang w:val="en-US"/>
        </w:rPr>
        <w:t>acuité</w:t>
      </w:r>
      <w:proofErr w:type="spellEnd"/>
      <w:r w:rsidR="000330C4" w:rsidRPr="00C816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0330C4" w:rsidRPr="00C8163A">
        <w:rPr>
          <w:rFonts w:ascii="Arial" w:hAnsi="Arial" w:cs="Arial"/>
          <w:b/>
          <w:sz w:val="20"/>
          <w:szCs w:val="20"/>
          <w:lang w:val="en-US"/>
        </w:rPr>
        <w:t>visuelle</w:t>
      </w:r>
    </w:p>
    <w:p w14:paraId="3790A46B" w14:textId="6678CC3F" w:rsidR="000330C4" w:rsidRDefault="00626F54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0330C4">
        <w:rPr>
          <w:rFonts w:ascii="Arial" w:hAnsi="Arial" w:cs="Arial"/>
          <w:sz w:val="20"/>
          <w:szCs w:val="20"/>
          <w:lang w:val="en-US"/>
        </w:rPr>
        <w:t>trabisme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amblyopie</w:t>
      </w:r>
      <w:proofErr w:type="spellEnd"/>
    </w:p>
    <w:p w14:paraId="43007117" w14:textId="77777777" w:rsidR="000330C4" w:rsidRPr="00C8163A" w:rsidRDefault="000330C4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r w:rsidRPr="00C8163A">
        <w:rPr>
          <w:rFonts w:ascii="Arial" w:hAnsi="Arial" w:cs="Arial"/>
          <w:b/>
          <w:sz w:val="20"/>
          <w:szCs w:val="20"/>
          <w:lang w:val="en-US"/>
        </w:rPr>
        <w:t>Oeil rouge</w:t>
      </w:r>
    </w:p>
    <w:p w14:paraId="1600E622" w14:textId="77777777" w:rsidR="00626F54" w:rsidRDefault="00626F54" w:rsidP="00626F5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Kératite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bandelette</w:t>
      </w:r>
      <w:proofErr w:type="spellEnd"/>
    </w:p>
    <w:p w14:paraId="02FF5F7E" w14:textId="77777777" w:rsidR="000330C4" w:rsidRDefault="000330C4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Cercle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périkératique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uvéite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antérieure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Pr="000E575D">
        <w:t xml:space="preserve"> </w:t>
      </w:r>
    </w:p>
    <w:p w14:paraId="6950672C" w14:textId="77777777" w:rsidR="00626F54" w:rsidRDefault="00626F54" w:rsidP="00626F5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Déformation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pupille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(“en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trèfle</w:t>
      </w:r>
      <w:proofErr w:type="spellEnd"/>
      <w:r>
        <w:rPr>
          <w:rFonts w:ascii="Arial" w:hAnsi="Arial" w:cs="Arial"/>
          <w:sz w:val="20"/>
          <w:szCs w:val="20"/>
          <w:lang w:val="en-US"/>
        </w:rPr>
        <w:t>”)</w:t>
      </w:r>
    </w:p>
    <w:p w14:paraId="7C115C4C" w14:textId="2F3895E2" w:rsidR="00626F54" w:rsidRDefault="00626F54" w:rsidP="00626F5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Présence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dépot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protéiques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chambre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antérieure</w:t>
      </w:r>
      <w:proofErr w:type="spellEnd"/>
    </w:p>
    <w:p w14:paraId="19FF19FA" w14:textId="410EC46C" w:rsidR="000330C4" w:rsidRDefault="00626F54" w:rsidP="00626F54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330C4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0330C4" w:rsidRPr="00626F54">
        <w:rPr>
          <w:rFonts w:ascii="Arial" w:hAnsi="Arial" w:cs="Arial"/>
          <w:b/>
          <w:sz w:val="20"/>
          <w:szCs w:val="20"/>
          <w:lang w:val="en-US"/>
        </w:rPr>
        <w:t>Mouches</w:t>
      </w:r>
      <w:proofErr w:type="spellEnd"/>
      <w:r w:rsidR="000330C4" w:rsidRPr="00626F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0330C4" w:rsidRPr="00626F54">
        <w:rPr>
          <w:rFonts w:ascii="Arial" w:hAnsi="Arial" w:cs="Arial"/>
          <w:b/>
          <w:sz w:val="20"/>
          <w:szCs w:val="20"/>
          <w:lang w:val="en-US"/>
        </w:rPr>
        <w:t>volantes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>” (</w:t>
      </w:r>
      <w:proofErr w:type="spellStart"/>
      <w:r w:rsidR="000330C4">
        <w:rPr>
          <w:rFonts w:ascii="Arial" w:hAnsi="Arial" w:cs="Arial"/>
          <w:sz w:val="20"/>
          <w:szCs w:val="20"/>
          <w:lang w:val="en-US"/>
        </w:rPr>
        <w:t>uveite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330C4">
        <w:rPr>
          <w:rFonts w:ascii="Arial" w:hAnsi="Arial" w:cs="Arial"/>
          <w:sz w:val="20"/>
          <w:szCs w:val="20"/>
          <w:lang w:val="en-US"/>
        </w:rPr>
        <w:t>intermédiaire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="000330C4">
        <w:rPr>
          <w:rFonts w:ascii="Arial" w:hAnsi="Arial" w:cs="Arial"/>
          <w:sz w:val="20"/>
          <w:szCs w:val="20"/>
          <w:lang w:val="en-US"/>
        </w:rPr>
        <w:t>postérieures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>)</w:t>
      </w:r>
    </w:p>
    <w:p w14:paraId="6A943DF3" w14:textId="5B421F3B" w:rsidR="000330C4" w:rsidRDefault="00C8163A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val="fr-CH" w:eastAsia="fr-CH"/>
        </w:rPr>
        <w:pict w14:anchorId="4897BADC">
          <v:shape id="_x0000_s1027" type="#_x0000_t75" alt="" style="position:absolute;left:0;text-align:left;margin-left:405pt;margin-top:10.15pt;width:81pt;height:54.95pt;z-index:251659264">
            <v:imagedata r:id="rId7" o:title="uveite1yz2"/>
          </v:shape>
        </w:pict>
      </w:r>
      <w:proofErr w:type="spellStart"/>
      <w:r w:rsidR="000330C4">
        <w:rPr>
          <w:rFonts w:ascii="Arial" w:hAnsi="Arial" w:cs="Arial"/>
          <w:sz w:val="20"/>
          <w:szCs w:val="20"/>
          <w:lang w:val="en-US"/>
        </w:rPr>
        <w:t>Déformations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lignes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(ex: </w:t>
      </w:r>
      <w:r w:rsidRPr="00626F54">
        <w:rPr>
          <w:rFonts w:ascii="Arial" w:hAnsi="Arial" w:cs="Arial"/>
          <w:b/>
          <w:sz w:val="20"/>
          <w:szCs w:val="20"/>
          <w:lang w:val="en-US"/>
        </w:rPr>
        <w:t xml:space="preserve">vision </w:t>
      </w:r>
      <w:proofErr w:type="spellStart"/>
      <w:r w:rsidRPr="00626F54">
        <w:rPr>
          <w:rFonts w:ascii="Arial" w:hAnsi="Arial" w:cs="Arial"/>
          <w:b/>
          <w:sz w:val="20"/>
          <w:szCs w:val="20"/>
          <w:lang w:val="en-US"/>
        </w:rPr>
        <w:t>ondulée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uvé</w:t>
      </w:r>
      <w:r w:rsidR="000330C4">
        <w:rPr>
          <w:rFonts w:ascii="Arial" w:hAnsi="Arial" w:cs="Arial"/>
          <w:sz w:val="20"/>
          <w:szCs w:val="20"/>
          <w:lang w:val="en-US"/>
        </w:rPr>
        <w:t>ites</w:t>
      </w:r>
      <w:proofErr w:type="spellEnd"/>
      <w:r w:rsidR="000330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330C4">
        <w:rPr>
          <w:rFonts w:ascii="Arial" w:hAnsi="Arial" w:cs="Arial"/>
          <w:sz w:val="20"/>
          <w:szCs w:val="20"/>
          <w:lang w:val="en-US"/>
        </w:rPr>
        <w:t>postérieures</w:t>
      </w:r>
      <w:proofErr w:type="spellEnd"/>
    </w:p>
    <w:p w14:paraId="78A62112" w14:textId="1F284D1D" w:rsidR="00C06C28" w:rsidRPr="00CB1B76" w:rsidRDefault="00C06C28" w:rsidP="00CB1B7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Rechercher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l’anamnèse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manifestations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</w:t>
      </w:r>
      <w:r w:rsidR="00626F54">
        <w:rPr>
          <w:rFonts w:ascii="Arial" w:hAnsi="Arial" w:cs="Arial"/>
          <w:sz w:val="20"/>
          <w:szCs w:val="20"/>
          <w:lang w:val="en-US"/>
        </w:rPr>
        <w:t>ystémiques</w:t>
      </w:r>
      <w:proofErr w:type="spellEnd"/>
      <w:r w:rsidR="00626F54">
        <w:rPr>
          <w:rFonts w:ascii="Arial" w:hAnsi="Arial" w:cs="Arial"/>
          <w:sz w:val="20"/>
          <w:szCs w:val="20"/>
          <w:lang w:val="en-US"/>
        </w:rPr>
        <w:t xml:space="preserve"> en </w:t>
      </w:r>
      <w:proofErr w:type="spellStart"/>
      <w:r w:rsidR="00626F54">
        <w:rPr>
          <w:rFonts w:ascii="Arial" w:hAnsi="Arial" w:cs="Arial"/>
          <w:sz w:val="20"/>
          <w:szCs w:val="20"/>
          <w:lang w:val="en-US"/>
        </w:rPr>
        <w:t>faveur</w:t>
      </w:r>
      <w:proofErr w:type="spellEnd"/>
      <w:r w:rsidR="00626F54">
        <w:rPr>
          <w:rFonts w:ascii="Arial" w:hAnsi="Arial" w:cs="Arial"/>
          <w:sz w:val="20"/>
          <w:szCs w:val="20"/>
          <w:lang w:val="en-US"/>
        </w:rPr>
        <w:t xml:space="preserve"> d’un </w:t>
      </w:r>
      <w:proofErr w:type="spellStart"/>
      <w:r w:rsidR="00626F54">
        <w:rPr>
          <w:rFonts w:ascii="Arial" w:hAnsi="Arial" w:cs="Arial"/>
          <w:sz w:val="20"/>
          <w:szCs w:val="20"/>
          <w:lang w:val="en-US"/>
        </w:rPr>
        <w:t>problè</w:t>
      </w:r>
      <w:r>
        <w:rPr>
          <w:rFonts w:ascii="Arial" w:hAnsi="Arial" w:cs="Arial"/>
          <w:sz w:val="20"/>
          <w:szCs w:val="20"/>
          <w:lang w:val="en-US"/>
        </w:rPr>
        <w:t>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rhumatismal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7B3D30DD" w14:textId="77777777" w:rsidR="000330C4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7588996D" w14:textId="77777777" w:rsidR="000330C4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1472D047" w14:textId="1DED42FB" w:rsidR="000330C4" w:rsidRPr="00CB1B76" w:rsidRDefault="00626F5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 xml:space="preserve">LOCALISATION SELON LES </w:t>
      </w:r>
      <w:r w:rsidR="000330C4" w:rsidRPr="00CB1B76">
        <w:rPr>
          <w:rFonts w:ascii="Arial" w:hAnsi="Arial" w:cs="Arial"/>
          <w:sz w:val="20"/>
          <w:szCs w:val="20"/>
          <w:u w:val="single"/>
          <w:lang w:val="en-US"/>
        </w:rPr>
        <w:t>ETIOLOGIES</w:t>
      </w:r>
    </w:p>
    <w:p w14:paraId="13ACFA01" w14:textId="0F625488" w:rsidR="000330C4" w:rsidRPr="00CB1B76" w:rsidRDefault="000330C4" w:rsidP="009A79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Uvéite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r w:rsidR="00152303" w:rsidRPr="00152303">
        <w:rPr>
          <w:rFonts w:ascii="Arial" w:hAnsi="Arial" w:cs="Arial"/>
          <w:b/>
          <w:color w:val="0000FF"/>
          <w:sz w:val="20"/>
          <w:szCs w:val="20"/>
        </w:rPr>
        <w:t>ANTERIEURE</w:t>
      </w:r>
      <w:r w:rsidR="004960D7">
        <w:rPr>
          <w:rFonts w:ascii="Arial" w:hAnsi="Arial" w:cs="Arial"/>
          <w:sz w:val="20"/>
          <w:szCs w:val="20"/>
        </w:rPr>
        <w:t xml:space="preserve"> (6</w:t>
      </w:r>
      <w:r>
        <w:rPr>
          <w:rFonts w:ascii="Arial" w:hAnsi="Arial" w:cs="Arial"/>
          <w:sz w:val="20"/>
          <w:szCs w:val="20"/>
        </w:rPr>
        <w:t>0%)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DFFB368" w14:textId="52F891AE" w:rsidR="000330C4" w:rsidRPr="00751190" w:rsidRDefault="000330C4" w:rsidP="00CB1B7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ARJ</w:t>
      </w:r>
      <w:r w:rsidR="00751190"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OLIGO-</w:t>
      </w:r>
      <w:proofErr w:type="spellStart"/>
      <w:r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articulaire</w:t>
      </w:r>
      <w:proofErr w:type="spellEnd"/>
      <w:r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chez &lt; 6 </w:t>
      </w:r>
      <w:proofErr w:type="spellStart"/>
      <w:r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ans</w:t>
      </w:r>
      <w:proofErr w:type="spellEnd"/>
      <w:r w:rsidR="00C06C28"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(30-40%)</w:t>
      </w:r>
      <w:r w:rsidR="00751190" w:rsidRPr="00152303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.</w:t>
      </w:r>
      <w:r w:rsidR="0075119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proofErr w:type="spellStart"/>
      <w:r w:rsidR="00626F54">
        <w:rPr>
          <w:rFonts w:ascii="Arial" w:hAnsi="Arial" w:cs="Arial"/>
          <w:bCs/>
          <w:sz w:val="20"/>
          <w:szCs w:val="20"/>
          <w:lang w:val="en-US"/>
        </w:rPr>
        <w:t>C</w:t>
      </w:r>
      <w:r w:rsidR="00751190" w:rsidRPr="00751190">
        <w:rPr>
          <w:rFonts w:ascii="Arial" w:hAnsi="Arial" w:cs="Arial"/>
          <w:bCs/>
          <w:sz w:val="20"/>
          <w:szCs w:val="20"/>
          <w:lang w:val="en-US"/>
        </w:rPr>
        <w:t>ette</w:t>
      </w:r>
      <w:proofErr w:type="spellEnd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>uvéite</w:t>
      </w:r>
      <w:proofErr w:type="spellEnd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>apparaît</w:t>
      </w:r>
      <w:proofErr w:type="spellEnd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26F54">
        <w:rPr>
          <w:rFonts w:ascii="Arial" w:hAnsi="Arial" w:cs="Arial"/>
          <w:bCs/>
          <w:sz w:val="20"/>
          <w:szCs w:val="20"/>
          <w:lang w:val="en-US"/>
        </w:rPr>
        <w:t xml:space="preserve">en general environ </w:t>
      </w:r>
      <w:r w:rsidR="00751190" w:rsidRPr="00751190">
        <w:rPr>
          <w:rFonts w:ascii="Arial" w:hAnsi="Arial" w:cs="Arial"/>
          <w:bCs/>
          <w:sz w:val="20"/>
          <w:szCs w:val="20"/>
          <w:lang w:val="en-US"/>
        </w:rPr>
        <w:t xml:space="preserve">1 an après le début de </w:t>
      </w:r>
      <w:proofErr w:type="spellStart"/>
      <w:r w:rsidR="00751190" w:rsidRPr="00751190">
        <w:rPr>
          <w:rFonts w:ascii="Arial" w:hAnsi="Arial" w:cs="Arial"/>
          <w:bCs/>
          <w:sz w:val="20"/>
          <w:szCs w:val="20"/>
          <w:lang w:val="en-US"/>
        </w:rPr>
        <w:t>l’arthrite</w:t>
      </w:r>
      <w:proofErr w:type="spellEnd"/>
      <w:r w:rsidR="00751190">
        <w:rPr>
          <w:rFonts w:ascii="Arial" w:hAnsi="Arial" w:cs="Arial"/>
          <w:bCs/>
          <w:sz w:val="20"/>
          <w:szCs w:val="20"/>
          <w:lang w:val="en-US"/>
        </w:rPr>
        <w:t xml:space="preserve"> =&gt; CTRL </w:t>
      </w:r>
      <w:proofErr w:type="spellStart"/>
      <w:r w:rsidR="00626F54">
        <w:rPr>
          <w:rFonts w:ascii="Arial" w:hAnsi="Arial" w:cs="Arial"/>
          <w:bCs/>
          <w:sz w:val="20"/>
          <w:szCs w:val="20"/>
          <w:lang w:val="en-US"/>
        </w:rPr>
        <w:t>ophtalmo</w:t>
      </w:r>
      <w:proofErr w:type="spellEnd"/>
      <w:r w:rsidR="00626F5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26F54">
        <w:rPr>
          <w:rFonts w:ascii="Arial" w:hAnsi="Arial" w:cs="Arial"/>
          <w:bCs/>
          <w:sz w:val="20"/>
          <w:szCs w:val="20"/>
          <w:lang w:val="en-US"/>
        </w:rPr>
        <w:t>dans</w:t>
      </w:r>
      <w:proofErr w:type="spellEnd"/>
      <w:r w:rsidR="00626F54">
        <w:rPr>
          <w:rFonts w:ascii="Arial" w:hAnsi="Arial" w:cs="Arial"/>
          <w:bCs/>
          <w:sz w:val="20"/>
          <w:szCs w:val="20"/>
          <w:lang w:val="en-US"/>
        </w:rPr>
        <w:t xml:space="preserve"> les </w:t>
      </w:r>
      <w:proofErr w:type="spellStart"/>
      <w:r w:rsidR="00626F54">
        <w:rPr>
          <w:rFonts w:ascii="Arial" w:hAnsi="Arial" w:cs="Arial"/>
          <w:bCs/>
          <w:sz w:val="20"/>
          <w:szCs w:val="20"/>
          <w:lang w:val="en-US"/>
        </w:rPr>
        <w:t>mo</w:t>
      </w:r>
      <w:r w:rsidR="001461E7">
        <w:rPr>
          <w:rFonts w:ascii="Arial" w:hAnsi="Arial" w:cs="Arial"/>
          <w:bCs/>
          <w:sz w:val="20"/>
          <w:szCs w:val="20"/>
          <w:lang w:val="en-US"/>
        </w:rPr>
        <w:t>is</w:t>
      </w:r>
      <w:proofErr w:type="spellEnd"/>
      <w:r w:rsidR="001461E7">
        <w:rPr>
          <w:rFonts w:ascii="Arial" w:hAnsi="Arial" w:cs="Arial"/>
          <w:bCs/>
          <w:sz w:val="20"/>
          <w:szCs w:val="20"/>
          <w:lang w:val="en-US"/>
        </w:rPr>
        <w:t xml:space="preserve"> qui </w:t>
      </w:r>
      <w:proofErr w:type="spellStart"/>
      <w:r w:rsidR="001461E7">
        <w:rPr>
          <w:rFonts w:ascii="Arial" w:hAnsi="Arial" w:cs="Arial"/>
          <w:bCs/>
          <w:sz w:val="20"/>
          <w:szCs w:val="20"/>
          <w:lang w:val="en-US"/>
        </w:rPr>
        <w:t>suivent</w:t>
      </w:r>
      <w:proofErr w:type="spellEnd"/>
      <w:r w:rsidR="001461E7">
        <w:rPr>
          <w:rFonts w:ascii="Arial" w:hAnsi="Arial" w:cs="Arial"/>
          <w:bCs/>
          <w:sz w:val="20"/>
          <w:szCs w:val="20"/>
          <w:lang w:val="en-US"/>
        </w:rPr>
        <w:t xml:space="preserve"> le diagnostic </w:t>
      </w:r>
      <w:proofErr w:type="spellStart"/>
      <w:r w:rsidR="001461E7">
        <w:rPr>
          <w:rFonts w:ascii="Arial" w:hAnsi="Arial" w:cs="Arial"/>
          <w:bCs/>
          <w:sz w:val="20"/>
          <w:szCs w:val="20"/>
          <w:lang w:val="en-US"/>
        </w:rPr>
        <w:t>d’ARJ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car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l’uvéite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ne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s’arrête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pas avec la diminution des spt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d’ARJ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car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évoluent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façon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séparée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et fait des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séquelles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graves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dans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50% des ARJ et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ce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façon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626F54">
        <w:rPr>
          <w:rFonts w:ascii="Arial" w:hAnsi="Arial" w:cs="Arial"/>
          <w:bCs/>
          <w:sz w:val="20"/>
          <w:szCs w:val="20"/>
          <w:lang w:val="en-US"/>
        </w:rPr>
        <w:t xml:space="preserve">tout à fait </w:t>
      </w:r>
      <w:proofErr w:type="spellStart"/>
      <w:r w:rsidR="00854AD2">
        <w:rPr>
          <w:rFonts w:ascii="Arial" w:hAnsi="Arial" w:cs="Arial"/>
          <w:bCs/>
          <w:sz w:val="20"/>
          <w:szCs w:val="20"/>
          <w:lang w:val="en-US"/>
        </w:rPr>
        <w:t>asymptomatque</w:t>
      </w:r>
      <w:proofErr w:type="spellEnd"/>
      <w:r w:rsidR="00854AD2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1D51E3C2" w14:textId="308397E5" w:rsidR="00751190" w:rsidRPr="00751190" w:rsidRDefault="00751190" w:rsidP="00CB1B7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751190">
        <w:rPr>
          <w:rFonts w:ascii="Arial" w:hAnsi="Arial" w:cs="Arial"/>
          <w:bCs/>
          <w:sz w:val="20"/>
          <w:szCs w:val="20"/>
          <w:lang w:val="en-US"/>
        </w:rPr>
        <w:t>Arthrite</w:t>
      </w:r>
      <w:proofErr w:type="spellEnd"/>
      <w:r w:rsidRPr="0075119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51190">
        <w:rPr>
          <w:rFonts w:ascii="Arial" w:hAnsi="Arial" w:cs="Arial"/>
          <w:bCs/>
          <w:sz w:val="20"/>
          <w:szCs w:val="20"/>
          <w:lang w:val="en-US"/>
        </w:rPr>
        <w:t>entésitique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 (HLA B27)</w:t>
      </w:r>
    </w:p>
    <w:p w14:paraId="05927BB8" w14:textId="24F9B1F4" w:rsidR="000330C4" w:rsidRPr="00CB1B76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</w:rPr>
        <w:t>Idiopathique</w:t>
      </w:r>
      <w:r w:rsidR="00C8163A">
        <w:rPr>
          <w:rFonts w:ascii="Arial" w:hAnsi="Arial" w:cs="Arial"/>
          <w:sz w:val="20"/>
          <w:szCs w:val="20"/>
        </w:rPr>
        <w:t xml:space="preserve"> (30% des </w:t>
      </w:r>
      <w:r w:rsidR="00626F54">
        <w:rPr>
          <w:rFonts w:ascii="Arial" w:hAnsi="Arial" w:cs="Arial"/>
          <w:sz w:val="20"/>
          <w:szCs w:val="20"/>
        </w:rPr>
        <w:t>c</w:t>
      </w:r>
      <w:r w:rsidR="00C8163A">
        <w:rPr>
          <w:rFonts w:ascii="Arial" w:hAnsi="Arial" w:cs="Arial"/>
          <w:sz w:val="20"/>
          <w:szCs w:val="20"/>
        </w:rPr>
        <w:t>as)</w:t>
      </w:r>
    </w:p>
    <w:p w14:paraId="5FA0FAB6" w14:textId="77777777" w:rsidR="000330C4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52303">
        <w:rPr>
          <w:rFonts w:ascii="Arial" w:hAnsi="Arial" w:cs="Arial"/>
          <w:b/>
          <w:color w:val="0000FF"/>
          <w:sz w:val="20"/>
          <w:szCs w:val="20"/>
          <w:lang w:val="en-US"/>
        </w:rPr>
        <w:t>HSV</w:t>
      </w:r>
      <w:r>
        <w:rPr>
          <w:rFonts w:ascii="Arial" w:hAnsi="Arial" w:cs="Arial"/>
          <w:sz w:val="20"/>
          <w:szCs w:val="20"/>
          <w:lang w:val="en-US"/>
        </w:rPr>
        <w:t>, VZV</w:t>
      </w:r>
    </w:p>
    <w:p w14:paraId="3DBF1326" w14:textId="38AC3DB5" w:rsidR="000330C4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Sarcoidose</w:t>
      </w:r>
      <w:proofErr w:type="spellEnd"/>
      <w:r w:rsidR="00C8163A">
        <w:rPr>
          <w:rFonts w:ascii="Arial" w:hAnsi="Arial" w:cs="Arial"/>
          <w:sz w:val="20"/>
          <w:szCs w:val="20"/>
          <w:lang w:val="en-US"/>
        </w:rPr>
        <w:t>, Behçet</w:t>
      </w:r>
    </w:p>
    <w:p w14:paraId="664E7C62" w14:textId="2B0747CC" w:rsidR="000330C4" w:rsidRPr="00CB1B76" w:rsidRDefault="000330C4" w:rsidP="009A79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Uvéite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r w:rsidR="00152303" w:rsidRPr="00152303">
        <w:rPr>
          <w:rFonts w:ascii="Arial" w:hAnsi="Arial" w:cs="Arial"/>
          <w:b/>
          <w:color w:val="984806" w:themeColor="accent6" w:themeShade="80"/>
          <w:sz w:val="20"/>
          <w:szCs w:val="20"/>
          <w:lang w:val="en-US"/>
        </w:rPr>
        <w:t>INTERMEDIAIRE</w:t>
      </w:r>
      <w:r>
        <w:rPr>
          <w:rFonts w:ascii="Arial" w:hAnsi="Arial" w:cs="Arial"/>
          <w:sz w:val="20"/>
          <w:szCs w:val="20"/>
          <w:lang w:val="en-US"/>
        </w:rPr>
        <w:t xml:space="preserve"> (10-25%)</w:t>
      </w:r>
      <w:r w:rsidRPr="00CB1B76">
        <w:rPr>
          <w:rFonts w:ascii="Arial" w:hAnsi="Arial" w:cs="Arial"/>
          <w:sz w:val="20"/>
          <w:szCs w:val="20"/>
          <w:lang w:val="en-US"/>
        </w:rPr>
        <w:t>:</w:t>
      </w:r>
    </w:p>
    <w:p w14:paraId="6C06A4CC" w14:textId="1A6A1FC9" w:rsidR="000330C4" w:rsidRPr="00152303" w:rsidRDefault="00152303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984806" w:themeColor="accent6" w:themeShade="8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984806" w:themeColor="accent6" w:themeShade="80"/>
          <w:sz w:val="20"/>
          <w:szCs w:val="20"/>
          <w:lang w:val="en-US"/>
        </w:rPr>
        <w:t>IDIOPATHIQUE</w:t>
      </w:r>
      <w:r w:rsidR="000330C4" w:rsidRPr="00152303">
        <w:rPr>
          <w:rFonts w:ascii="Arial" w:hAnsi="Arial" w:cs="Arial"/>
          <w:b/>
          <w:bCs/>
          <w:color w:val="984806" w:themeColor="accent6" w:themeShade="80"/>
          <w:sz w:val="20"/>
          <w:szCs w:val="20"/>
          <w:lang w:val="en-US"/>
        </w:rPr>
        <w:t xml:space="preserve"> (&gt;70% des </w:t>
      </w:r>
      <w:proofErr w:type="spellStart"/>
      <w:r w:rsidR="000330C4" w:rsidRPr="00152303">
        <w:rPr>
          <w:rFonts w:ascii="Arial" w:hAnsi="Arial" w:cs="Arial"/>
          <w:b/>
          <w:bCs/>
          <w:color w:val="984806" w:themeColor="accent6" w:themeShade="80"/>
          <w:sz w:val="20"/>
          <w:szCs w:val="20"/>
          <w:lang w:val="en-US"/>
        </w:rPr>
        <w:t>cas</w:t>
      </w:r>
      <w:proofErr w:type="spellEnd"/>
      <w:r w:rsidR="000330C4" w:rsidRPr="00152303">
        <w:rPr>
          <w:rFonts w:ascii="Arial" w:hAnsi="Arial" w:cs="Arial"/>
          <w:b/>
          <w:bCs/>
          <w:color w:val="984806" w:themeColor="accent6" w:themeShade="80"/>
          <w:sz w:val="20"/>
          <w:szCs w:val="20"/>
          <w:lang w:val="en-US"/>
        </w:rPr>
        <w:t>)</w:t>
      </w:r>
    </w:p>
    <w:p w14:paraId="55ED2736" w14:textId="77777777" w:rsidR="000330C4" w:rsidRPr="00CB1B76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lang w:val="en-US"/>
        </w:rPr>
        <w:t>Lyme</w:t>
      </w:r>
    </w:p>
    <w:p w14:paraId="06061B43" w14:textId="77777777" w:rsidR="000330C4" w:rsidRPr="0078053E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US"/>
        </w:rPr>
      </w:pPr>
      <w:bookmarkStart w:id="0" w:name="_GoBack"/>
      <w:proofErr w:type="spellStart"/>
      <w:r>
        <w:rPr>
          <w:rFonts w:ascii="Arial" w:hAnsi="Arial" w:cs="Arial"/>
          <w:sz w:val="20"/>
          <w:szCs w:val="20"/>
          <w:lang w:val="en-US"/>
        </w:rPr>
        <w:t>Sarcoidose</w:t>
      </w:r>
      <w:proofErr w:type="spellEnd"/>
    </w:p>
    <w:bookmarkEnd w:id="0"/>
    <w:p w14:paraId="3350883F" w14:textId="77777777" w:rsidR="000330C4" w:rsidRPr="00CB1B76" w:rsidRDefault="000330C4" w:rsidP="009A794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IBD</w:t>
      </w:r>
    </w:p>
    <w:p w14:paraId="3387A77D" w14:textId="77777777" w:rsidR="000330C4" w:rsidRDefault="000330C4" w:rsidP="0078053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SEP</w:t>
      </w:r>
      <w:r w:rsidRPr="0078053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6312EA3" w14:textId="77777777" w:rsidR="000330C4" w:rsidRPr="0078053E" w:rsidRDefault="000330C4" w:rsidP="0078053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lang w:val="en-US"/>
        </w:rPr>
        <w:t xml:space="preserve">M.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Griffure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de chat</w:t>
      </w:r>
    </w:p>
    <w:p w14:paraId="57D72750" w14:textId="656F287B" w:rsidR="004960D7" w:rsidRPr="00CB1B76" w:rsidRDefault="004960D7" w:rsidP="004960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Uvéite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r w:rsidR="00152303" w:rsidRPr="00152303">
        <w:rPr>
          <w:rFonts w:ascii="Arial" w:hAnsi="Arial" w:cs="Arial"/>
          <w:b/>
          <w:color w:val="FF0000"/>
          <w:sz w:val="20"/>
          <w:szCs w:val="20"/>
          <w:lang w:val="en-US"/>
        </w:rPr>
        <w:t>POSTERIEURE</w:t>
      </w:r>
      <w:r>
        <w:rPr>
          <w:rFonts w:ascii="Arial" w:hAnsi="Arial" w:cs="Arial"/>
          <w:sz w:val="20"/>
          <w:szCs w:val="20"/>
          <w:lang w:val="en-US"/>
        </w:rPr>
        <w:t xml:space="preserve"> (20-30%)</w:t>
      </w:r>
      <w:r w:rsidRPr="00CB1B76">
        <w:rPr>
          <w:rFonts w:ascii="Arial" w:hAnsi="Arial" w:cs="Arial"/>
          <w:sz w:val="20"/>
          <w:szCs w:val="20"/>
          <w:lang w:val="en-US"/>
        </w:rPr>
        <w:t>:</w:t>
      </w:r>
    </w:p>
    <w:p w14:paraId="740C0AE4" w14:textId="03276055" w:rsidR="004960D7" w:rsidRPr="00CB1B76" w:rsidRDefault="00152303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TOXOPLASMOSE</w:t>
      </w:r>
    </w:p>
    <w:p w14:paraId="0D0ABD13" w14:textId="77777777" w:rsidR="004960D7" w:rsidRDefault="004960D7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Behcet</w:t>
      </w:r>
      <w:proofErr w:type="spellEnd"/>
    </w:p>
    <w:p w14:paraId="70043946" w14:textId="77777777" w:rsidR="004960D7" w:rsidRDefault="004960D7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Toxocarose</w:t>
      </w:r>
      <w:proofErr w:type="spellEnd"/>
    </w:p>
    <w:p w14:paraId="6D16152F" w14:textId="77777777" w:rsidR="004960D7" w:rsidRDefault="004960D7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Griffe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du chat</w:t>
      </w:r>
    </w:p>
    <w:p w14:paraId="03379581" w14:textId="77777777" w:rsidR="004960D7" w:rsidRDefault="004960D7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Sarcoidose</w:t>
      </w:r>
      <w:proofErr w:type="spellEnd"/>
    </w:p>
    <w:p w14:paraId="066F18DC" w14:textId="77777777" w:rsidR="004960D7" w:rsidRPr="00CB1B76" w:rsidRDefault="004960D7" w:rsidP="004960D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Koyanaghi-harada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panuveite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granulomateuse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bilatérale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chronique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en general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dès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10-52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ans</w:t>
      </w:r>
      <w:proofErr w:type="spellEnd"/>
      <w:r>
        <w:rPr>
          <w:rFonts w:ascii="Arial" w:hAnsi="Arial" w:cs="Arial"/>
          <w:sz w:val="20"/>
          <w:szCs w:val="20"/>
          <w:lang w:val="en-US"/>
        </w:rPr>
        <w:t>)avec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vitiligo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allopécie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atteinte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oreille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interne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hémiparésie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hémiplégie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pleiocytose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au LCR.</w:t>
      </w:r>
    </w:p>
    <w:p w14:paraId="6F195CBB" w14:textId="77777777" w:rsidR="004960D7" w:rsidRDefault="004960D7" w:rsidP="009A794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Panuvétite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(7%)</w:t>
      </w:r>
    </w:p>
    <w:p w14:paraId="3B07543B" w14:textId="77777777" w:rsidR="000330C4" w:rsidRPr="00CB1B76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3373221" w14:textId="77777777" w:rsidR="000330C4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PSEUDO UVEITES:</w:t>
      </w:r>
    </w:p>
    <w:p w14:paraId="178AD589" w14:textId="77777777" w:rsidR="000330C4" w:rsidRPr="0078053E" w:rsidRDefault="000330C4" w:rsidP="0078053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Leucémie</w:t>
      </w:r>
      <w:proofErr w:type="spellEnd"/>
    </w:p>
    <w:p w14:paraId="442EAF6D" w14:textId="77777777" w:rsidR="000330C4" w:rsidRPr="0078053E" w:rsidRDefault="000330C4" w:rsidP="0078053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Retinoblastome</w:t>
      </w:r>
      <w:proofErr w:type="spellEnd"/>
    </w:p>
    <w:p w14:paraId="4E0CCD73" w14:textId="77777777" w:rsidR="000330C4" w:rsidRPr="0078053E" w:rsidRDefault="000330C4" w:rsidP="0078053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Corps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étranger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intraoculaire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trauma</w:t>
      </w:r>
    </w:p>
    <w:p w14:paraId="5C32A159" w14:textId="77777777" w:rsidR="000330C4" w:rsidRPr="0078053E" w:rsidRDefault="000330C4" w:rsidP="0078053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Xanthogranulome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juvénile</w:t>
      </w:r>
      <w:proofErr w:type="spellEnd"/>
    </w:p>
    <w:p w14:paraId="1D64B4BE" w14:textId="77777777" w:rsidR="000330C4" w:rsidRDefault="000330C4" w:rsidP="007805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3B769598" w14:textId="77777777" w:rsidR="000330C4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4F55C761" w14:textId="77777777" w:rsidR="000330C4" w:rsidRPr="00CB1B76" w:rsidRDefault="000330C4" w:rsidP="009A79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u w:val="single"/>
          <w:lang w:val="en-US"/>
        </w:rPr>
        <w:t>COMPLICATIONS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surtout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dans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les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uvéites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auto-immunes): </w:t>
      </w:r>
    </w:p>
    <w:p w14:paraId="28CEA1F1" w14:textId="77777777" w:rsidR="000330C4" w:rsidRPr="00CB1B76" w:rsidRDefault="000330C4" w:rsidP="009A79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Cataracte</w:t>
      </w:r>
      <w:proofErr w:type="spellEnd"/>
    </w:p>
    <w:p w14:paraId="1A275BE4" w14:textId="77777777" w:rsidR="000330C4" w:rsidRPr="00CB1B76" w:rsidRDefault="000330C4" w:rsidP="009A79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lang w:val="en-US"/>
        </w:rPr>
        <w:t xml:space="preserve">HTA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oculaire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glaucome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>)</w:t>
      </w:r>
    </w:p>
    <w:p w14:paraId="72FCFC49" w14:textId="77777777" w:rsidR="000330C4" w:rsidRPr="00CB1B76" w:rsidRDefault="000330C4" w:rsidP="009A79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Synéchies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inflammatoires</w:t>
      </w:r>
      <w:proofErr w:type="spellEnd"/>
    </w:p>
    <w:p w14:paraId="6E678124" w14:textId="77777777" w:rsidR="000330C4" w:rsidRPr="00CB1B76" w:rsidRDefault="000330C4" w:rsidP="009A794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Décollement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rétine</w:t>
      </w:r>
      <w:proofErr w:type="spellEnd"/>
    </w:p>
    <w:p w14:paraId="13D22F67" w14:textId="77777777" w:rsidR="000330C4" w:rsidRPr="00CB1B76" w:rsidRDefault="000330C4" w:rsidP="009A7949">
      <w:pPr>
        <w:rPr>
          <w:rFonts w:ascii="Arial" w:hAnsi="Arial" w:cs="Arial"/>
          <w:sz w:val="20"/>
          <w:szCs w:val="20"/>
          <w:lang w:val="en-US"/>
        </w:rPr>
      </w:pPr>
    </w:p>
    <w:p w14:paraId="1A2CAD24" w14:textId="77777777" w:rsidR="00626F54" w:rsidRDefault="00626F54" w:rsidP="009A7949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0171367F" w14:textId="77777777" w:rsidR="000330C4" w:rsidRPr="00CB1B76" w:rsidRDefault="000330C4" w:rsidP="009A7949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CB1B76">
        <w:rPr>
          <w:rFonts w:ascii="Arial" w:hAnsi="Arial" w:cs="Arial"/>
          <w:sz w:val="20"/>
          <w:szCs w:val="20"/>
          <w:u w:val="single"/>
          <w:lang w:val="en-US"/>
        </w:rPr>
        <w:t>BILAN</w:t>
      </w:r>
    </w:p>
    <w:p w14:paraId="17E56F61" w14:textId="2652E28D" w:rsidR="00E11C17" w:rsidRDefault="00E11C17" w:rsidP="00D5140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Examen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lampe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fente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grader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sévérité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en function du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nombre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cellules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dans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chambre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antérieure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329A474B" w14:textId="77777777" w:rsidR="00751190" w:rsidRDefault="00751190" w:rsidP="00D5140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Rechercher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AC9AA3F" w14:textId="58E90236" w:rsidR="00751190" w:rsidRDefault="001461E7" w:rsidP="0075119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</w:t>
      </w:r>
      <w:r w:rsidR="00751190">
        <w:rPr>
          <w:rFonts w:ascii="Arial" w:hAnsi="Arial" w:cs="Arial"/>
          <w:sz w:val="20"/>
          <w:szCs w:val="20"/>
          <w:lang w:val="en-US"/>
        </w:rPr>
        <w:t>erte</w:t>
      </w:r>
      <w:proofErr w:type="spellEnd"/>
      <w:r w:rsidR="00751190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751190">
        <w:rPr>
          <w:rFonts w:ascii="Arial" w:hAnsi="Arial" w:cs="Arial"/>
          <w:sz w:val="20"/>
          <w:szCs w:val="20"/>
          <w:lang w:val="en-US"/>
        </w:rPr>
        <w:t>vue</w:t>
      </w:r>
      <w:proofErr w:type="spellEnd"/>
    </w:p>
    <w:p w14:paraId="210C3490" w14:textId="1EA7B6E5" w:rsidR="00751190" w:rsidRDefault="001461E7" w:rsidP="0075119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</w:t>
      </w:r>
      <w:r w:rsidR="00751190">
        <w:rPr>
          <w:rFonts w:ascii="Arial" w:hAnsi="Arial" w:cs="Arial"/>
          <w:sz w:val="20"/>
          <w:szCs w:val="20"/>
          <w:lang w:val="en-US"/>
        </w:rPr>
        <w:t>mblyopie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(NB: pas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traitement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possible après 6-8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ans</w:t>
      </w:r>
      <w:proofErr w:type="spellEnd"/>
      <w:r>
        <w:rPr>
          <w:rFonts w:ascii="Arial" w:hAnsi="Arial" w:cs="Arial"/>
          <w:sz w:val="20"/>
          <w:szCs w:val="20"/>
          <w:lang w:val="en-US"/>
        </w:rPr>
        <w:t>!)</w:t>
      </w:r>
    </w:p>
    <w:p w14:paraId="6C493B85" w14:textId="39B2E27D" w:rsidR="00751190" w:rsidRDefault="001461E7" w:rsidP="0075119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Un </w:t>
      </w:r>
      <w:proofErr w:type="spellStart"/>
      <w:r w:rsidRPr="001461E7">
        <w:rPr>
          <w:rFonts w:ascii="Arial" w:hAnsi="Arial" w:cs="Arial"/>
          <w:b/>
          <w:sz w:val="20"/>
          <w:szCs w:val="20"/>
          <w:lang w:val="en-US"/>
        </w:rPr>
        <w:t>glaucome</w:t>
      </w:r>
      <w:proofErr w:type="spellEnd"/>
    </w:p>
    <w:p w14:paraId="6F4462D3" w14:textId="77777777" w:rsidR="000330C4" w:rsidRPr="00CB1B76" w:rsidRDefault="000330C4" w:rsidP="00D5140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CB1B76">
        <w:rPr>
          <w:rFonts w:ascii="Arial" w:hAnsi="Arial" w:cs="Arial"/>
          <w:sz w:val="20"/>
          <w:szCs w:val="20"/>
          <w:lang w:val="en-US"/>
        </w:rPr>
        <w:t xml:space="preserve">FAN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si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ARJ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 qui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associé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au risqué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d’uvéite</w:t>
      </w:r>
      <w:proofErr w:type="spellEnd"/>
    </w:p>
    <w:p w14:paraId="2D903DCD" w14:textId="6DDC8205" w:rsidR="000330C4" w:rsidRPr="00CB1B76" w:rsidRDefault="000330C4" w:rsidP="00D5140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Sérologies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, PCR pour </w:t>
      </w:r>
      <w:r w:rsidRPr="00626F54">
        <w:rPr>
          <w:rFonts w:ascii="Arial" w:hAnsi="Arial" w:cs="Arial"/>
          <w:b/>
          <w:sz w:val="20"/>
          <w:szCs w:val="20"/>
          <w:lang w:val="en-US"/>
        </w:rPr>
        <w:t>HSV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, </w:t>
      </w:r>
      <w:r w:rsidR="00152303">
        <w:rPr>
          <w:rFonts w:ascii="Arial" w:hAnsi="Arial" w:cs="Arial"/>
          <w:b/>
          <w:sz w:val="20"/>
          <w:szCs w:val="20"/>
          <w:lang w:val="en-US"/>
        </w:rPr>
        <w:t>TOXOPLASMOSE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bartonella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selon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suspicion</w:t>
      </w:r>
    </w:p>
    <w:p w14:paraId="119FBE50" w14:textId="77777777" w:rsidR="000330C4" w:rsidRPr="00CB1B76" w:rsidRDefault="000330C4" w:rsidP="009A7949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3854B890" w14:textId="77777777" w:rsidR="000330C4" w:rsidRPr="00CB1B76" w:rsidRDefault="000330C4" w:rsidP="009A7949">
      <w:pPr>
        <w:rPr>
          <w:rFonts w:ascii="Arial" w:hAnsi="Arial" w:cs="Arial"/>
          <w:sz w:val="20"/>
          <w:szCs w:val="20"/>
          <w:u w:val="single"/>
        </w:rPr>
      </w:pPr>
      <w:r w:rsidRPr="00CB1B76">
        <w:rPr>
          <w:rFonts w:ascii="Arial" w:hAnsi="Arial" w:cs="Arial"/>
          <w:sz w:val="20"/>
          <w:szCs w:val="20"/>
          <w:u w:val="single"/>
          <w:lang w:val="en-US"/>
        </w:rPr>
        <w:t>TRAITEMENT</w:t>
      </w:r>
    </w:p>
    <w:p w14:paraId="4A91D134" w14:textId="7FA2AD04" w:rsidR="00C06C28" w:rsidRDefault="00C06C28" w:rsidP="007D4A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pas hésiter à </w:t>
      </w:r>
      <w:r w:rsidR="00626F54">
        <w:rPr>
          <w:rFonts w:ascii="Arial" w:hAnsi="Arial" w:cs="Arial"/>
          <w:sz w:val="20"/>
          <w:szCs w:val="20"/>
        </w:rPr>
        <w:t>demander</w:t>
      </w:r>
      <w:r>
        <w:rPr>
          <w:rFonts w:ascii="Arial" w:hAnsi="Arial" w:cs="Arial"/>
          <w:sz w:val="20"/>
          <w:szCs w:val="20"/>
        </w:rPr>
        <w:t xml:space="preserve"> un avis conjoint à l’ophtalmologue et au rhumatologue</w:t>
      </w:r>
    </w:p>
    <w:p w14:paraId="25393A51" w14:textId="1ED47E32" w:rsidR="000330C4" w:rsidRDefault="000330C4" w:rsidP="007D4A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Uvéites antérieures : But limiter les synéchies</w:t>
      </w:r>
      <w:r w:rsidR="00626F54">
        <w:rPr>
          <w:rFonts w:ascii="Arial" w:hAnsi="Arial" w:cs="Arial"/>
          <w:sz w:val="20"/>
          <w:szCs w:val="20"/>
        </w:rPr>
        <w:t>=&gt;</w:t>
      </w:r>
    </w:p>
    <w:p w14:paraId="1F7EEC47" w14:textId="77777777" w:rsidR="000330C4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Corticoides</w:t>
      </w:r>
      <w:proofErr w:type="spellEnd"/>
      <w:r>
        <w:rPr>
          <w:rFonts w:ascii="Arial" w:hAnsi="Arial" w:cs="Arial"/>
          <w:sz w:val="20"/>
          <w:szCs w:val="20"/>
        </w:rPr>
        <w:t xml:space="preserve"> collyres</w:t>
      </w:r>
    </w:p>
    <w:p w14:paraId="633B11C5" w14:textId="77777777" w:rsidR="000330C4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Midriatiques</w:t>
      </w:r>
      <w:proofErr w:type="spellEnd"/>
    </w:p>
    <w:p w14:paraId="6C259253" w14:textId="77777777" w:rsidR="000330C4" w:rsidRPr="00CB1B76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Cortico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systémique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réponse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insuffisante</w:t>
      </w:r>
      <w:proofErr w:type="spellEnd"/>
    </w:p>
    <w:p w14:paraId="786B593C" w14:textId="77777777" w:rsidR="000330C4" w:rsidRPr="007D4A0A" w:rsidRDefault="000330C4" w:rsidP="007D4A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Uvéites intermédiaires et postérieures</w:t>
      </w:r>
    </w:p>
    <w:p w14:paraId="494B3FF8" w14:textId="2EF560E2" w:rsidR="000330C4" w:rsidRPr="007D4A0A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Cortico</w:t>
      </w:r>
      <w:r w:rsidR="00626F54">
        <w:rPr>
          <w:rFonts w:ascii="Arial" w:hAnsi="Arial" w:cs="Arial"/>
          <w:sz w:val="20"/>
          <w:szCs w:val="20"/>
          <w:lang w:val="en-US"/>
        </w:rPr>
        <w:t>ïdes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systémique</w:t>
      </w:r>
      <w:r w:rsidR="00626F54">
        <w:rPr>
          <w:rFonts w:ascii="Arial" w:hAnsi="Arial" w:cs="Arial"/>
          <w:sz w:val="20"/>
          <w:szCs w:val="20"/>
          <w:lang w:val="en-US"/>
        </w:rPr>
        <w:t>s</w:t>
      </w:r>
      <w:proofErr w:type="spellEnd"/>
    </w:p>
    <w:p w14:paraId="66E1D998" w14:textId="0FE49559" w:rsidR="000330C4" w:rsidRPr="00CB1B76" w:rsidRDefault="00626F5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Méthotrexate</w:t>
      </w:r>
      <w:proofErr w:type="spellEnd"/>
    </w:p>
    <w:p w14:paraId="01658785" w14:textId="77777777" w:rsidR="000330C4" w:rsidRPr="00CB1B76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Azathioprime</w:t>
      </w:r>
      <w:proofErr w:type="spellEnd"/>
    </w:p>
    <w:p w14:paraId="2F0CB0FD" w14:textId="77777777" w:rsidR="000330C4" w:rsidRPr="00CB1B76" w:rsidRDefault="000330C4" w:rsidP="007D4A0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monoclonaux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anti-TNF</w:t>
      </w:r>
    </w:p>
    <w:p w14:paraId="14EEB22E" w14:textId="77777777" w:rsidR="000330C4" w:rsidRDefault="000330C4" w:rsidP="007D4A0A">
      <w:pPr>
        <w:pStyle w:val="ListParagraph"/>
        <w:ind w:left="360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hAnsi="Arial" w:cs="Arial"/>
          <w:color w:val="FF0000"/>
          <w:sz w:val="20"/>
          <w:szCs w:val="20"/>
          <w:lang w:val="en-US"/>
        </w:rPr>
        <w:t xml:space="preserve">NB: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Dans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ARJ</w:t>
      </w:r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oligo-articulaire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avec FAN+ (pas de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risque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FAN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négatif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)=&gt; CTRL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réguliers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des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yeux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car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uvéites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ASYMPTOMATIQUES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surtout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 chez enfant avec </w:t>
      </w:r>
      <w:proofErr w:type="spellStart"/>
      <w:r w:rsidRPr="00CB1B76">
        <w:rPr>
          <w:rFonts w:ascii="Arial" w:hAnsi="Arial" w:cs="Arial"/>
          <w:sz w:val="20"/>
          <w:szCs w:val="20"/>
          <w:lang w:val="en-US"/>
        </w:rPr>
        <w:t>séquelles</w:t>
      </w:r>
      <w:proofErr w:type="spellEnd"/>
      <w:r w:rsidRPr="00CB1B76">
        <w:rPr>
          <w:rFonts w:ascii="Arial" w:hAnsi="Arial" w:cs="Arial"/>
          <w:sz w:val="20"/>
          <w:szCs w:val="20"/>
          <w:lang w:val="en-US"/>
        </w:rPr>
        <w:t xml:space="preserve">=&gt; </w:t>
      </w:r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CTRL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tous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les 3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mois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pd des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années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car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lésions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apparaissent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encore après 5-7 </w:t>
      </w:r>
      <w:proofErr w:type="spell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ans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proofErr w:type="gramStart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d'évolution</w:t>
      </w:r>
      <w:proofErr w:type="spell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 xml:space="preserve"> !</w:t>
      </w:r>
      <w:proofErr w:type="gramEnd"/>
      <w:r w:rsidRPr="00CB1B76">
        <w:rPr>
          <w:rFonts w:ascii="Arial" w:hAnsi="Arial" w:cs="Arial"/>
          <w:color w:val="FF0000"/>
          <w:sz w:val="20"/>
          <w:szCs w:val="20"/>
          <w:lang w:val="en-US"/>
        </w:rPr>
        <w:t>!!</w:t>
      </w:r>
    </w:p>
    <w:p w14:paraId="734B4948" w14:textId="77777777" w:rsidR="00C06C28" w:rsidRPr="00CB1B76" w:rsidRDefault="00C06C28" w:rsidP="007D4A0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4364CA4" w14:textId="272C538E" w:rsidR="000330C4" w:rsidRDefault="00152303" w:rsidP="00152303">
      <w:pPr>
        <w:ind w:left="-851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pict w14:anchorId="7FE873CB">
          <v:shape id="_x0000_i1025" type="#_x0000_t75" style="width:540pt;height:374.65pt">
            <v:imagedata r:id="rId8" o:title=""/>
          </v:shape>
        </w:pict>
      </w:r>
    </w:p>
    <w:p w14:paraId="5226FB11" w14:textId="77777777" w:rsidR="000330C4" w:rsidRPr="00C838A8" w:rsidRDefault="000330C4">
      <w:pPr>
        <w:rPr>
          <w:rFonts w:ascii="Arial" w:hAnsi="Arial" w:cs="Arial"/>
          <w:sz w:val="20"/>
          <w:szCs w:val="20"/>
          <w:lang w:val="en-US"/>
        </w:rPr>
      </w:pPr>
      <w:r w:rsidRPr="00C838A8">
        <w:rPr>
          <w:rFonts w:ascii="Arial" w:hAnsi="Arial" w:cs="Arial"/>
          <w:sz w:val="20"/>
          <w:szCs w:val="20"/>
          <w:lang w:val="en-US"/>
        </w:rPr>
        <w:t xml:space="preserve">Arch </w:t>
      </w:r>
      <w:proofErr w:type="spellStart"/>
      <w:r w:rsidRPr="00C838A8">
        <w:rPr>
          <w:rFonts w:ascii="Arial" w:hAnsi="Arial" w:cs="Arial"/>
          <w:sz w:val="20"/>
          <w:szCs w:val="20"/>
          <w:lang w:val="en-US"/>
        </w:rPr>
        <w:t>ped</w:t>
      </w:r>
      <w:proofErr w:type="spellEnd"/>
      <w:r w:rsidRPr="00C838A8">
        <w:rPr>
          <w:rFonts w:ascii="Arial" w:hAnsi="Arial" w:cs="Arial"/>
          <w:sz w:val="20"/>
          <w:szCs w:val="20"/>
          <w:lang w:val="en-US"/>
        </w:rPr>
        <w:t>. 2011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D.Monnet</w:t>
      </w:r>
      <w:proofErr w:type="spellEnd"/>
    </w:p>
    <w:sectPr w:rsidR="000330C4" w:rsidRPr="00C838A8" w:rsidSect="00CB1B76">
      <w:pgSz w:w="11900" w:h="16840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666BEB"/>
    <w:multiLevelType w:val="hybridMultilevel"/>
    <w:tmpl w:val="AF08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E969CD"/>
    <w:multiLevelType w:val="hybridMultilevel"/>
    <w:tmpl w:val="3E9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A63FE5"/>
    <w:multiLevelType w:val="hybridMultilevel"/>
    <w:tmpl w:val="C79E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2C76B1"/>
    <w:multiLevelType w:val="hybridMultilevel"/>
    <w:tmpl w:val="4B44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B9780B"/>
    <w:multiLevelType w:val="hybridMultilevel"/>
    <w:tmpl w:val="FD542D5C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9169DD"/>
    <w:multiLevelType w:val="hybridMultilevel"/>
    <w:tmpl w:val="010A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C0C14"/>
    <w:multiLevelType w:val="hybridMultilevel"/>
    <w:tmpl w:val="0D3ABC0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949"/>
    <w:rsid w:val="000330C4"/>
    <w:rsid w:val="000E575D"/>
    <w:rsid w:val="001461E7"/>
    <w:rsid w:val="00152303"/>
    <w:rsid w:val="00202838"/>
    <w:rsid w:val="002E3D37"/>
    <w:rsid w:val="00340517"/>
    <w:rsid w:val="003D50D5"/>
    <w:rsid w:val="004960D7"/>
    <w:rsid w:val="00626F54"/>
    <w:rsid w:val="00751190"/>
    <w:rsid w:val="0078053E"/>
    <w:rsid w:val="007D4A0A"/>
    <w:rsid w:val="00854AD2"/>
    <w:rsid w:val="009A7949"/>
    <w:rsid w:val="00A90C71"/>
    <w:rsid w:val="00A9649E"/>
    <w:rsid w:val="00C06C28"/>
    <w:rsid w:val="00C8163A"/>
    <w:rsid w:val="00C838A8"/>
    <w:rsid w:val="00CB1B76"/>
    <w:rsid w:val="00D5140C"/>
    <w:rsid w:val="00E11C17"/>
    <w:rsid w:val="00F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14B5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38"/>
    <w:rPr>
      <w:rFonts w:cs="Cambria"/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7949"/>
    <w:pPr>
      <w:ind w:left="720"/>
    </w:pPr>
  </w:style>
  <w:style w:type="character" w:styleId="Hyperlink">
    <w:name w:val="Hyperlink"/>
    <w:basedOn w:val="DefaultParagraphFont"/>
    <w:uiPriority w:val="99"/>
    <w:rsid w:val="000E5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424</Words>
  <Characters>2417</Characters>
  <Application>Microsoft Macintosh Word</Application>
  <DocSecurity>0</DocSecurity>
  <Lines>20</Lines>
  <Paragraphs>5</Paragraphs>
  <ScaleCrop>false</ScaleCrop>
  <Company>-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dddd</dc:creator>
  <cp:keywords/>
  <dc:description/>
  <cp:lastModifiedBy>- -</cp:lastModifiedBy>
  <cp:revision>13</cp:revision>
  <dcterms:created xsi:type="dcterms:W3CDTF">2011-03-26T15:10:00Z</dcterms:created>
  <dcterms:modified xsi:type="dcterms:W3CDTF">2012-12-04T18:05:00Z</dcterms:modified>
</cp:coreProperties>
</file>