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01E51" w14:textId="77777777" w:rsidR="00C15D7F" w:rsidRPr="00C15D7F" w:rsidRDefault="00C15D7F" w:rsidP="00C15D7F">
      <w:pPr>
        <w:jc w:val="center"/>
        <w:rPr>
          <w:b/>
        </w:rPr>
      </w:pPr>
      <w:r w:rsidRPr="00C15D7F">
        <w:rPr>
          <w:b/>
        </w:rPr>
        <w:t>HYPOGLYCEMIE NEONATALE</w:t>
      </w:r>
    </w:p>
    <w:p w14:paraId="0F47F0C1" w14:textId="5CBD013A" w:rsidR="00C15D7F" w:rsidRPr="001B3127" w:rsidRDefault="00C15D7F" w:rsidP="00C15D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  <w:lang w:val="en-US"/>
        </w:rPr>
      </w:pPr>
      <w:r w:rsidRPr="001B3127">
        <w:rPr>
          <w:rFonts w:ascii="Arial" w:hAnsi="Arial" w:cs="Arial"/>
          <w:i/>
          <w:sz w:val="18"/>
          <w:szCs w:val="18"/>
          <w:lang w:val="en-US"/>
        </w:rPr>
        <w:t>Dis Child Fetal Neonatal Ed 2014;</w:t>
      </w:r>
      <w:r w:rsidR="001B3127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B3127">
        <w:rPr>
          <w:rFonts w:ascii="Arial" w:hAnsi="Arial" w:cs="Arial"/>
          <w:i/>
          <w:sz w:val="18"/>
          <w:szCs w:val="18"/>
          <w:lang w:val="en-US"/>
        </w:rPr>
        <w:t>99:F153</w:t>
      </w:r>
      <w:r w:rsidRPr="001B3127">
        <w:rPr>
          <w:rFonts w:ascii="Arial" w:hAnsi="Arial" w:cs="Arial"/>
          <w:b/>
          <w:bCs/>
          <w:i/>
          <w:sz w:val="18"/>
          <w:szCs w:val="18"/>
          <w:lang w:val="en-US"/>
        </w:rPr>
        <w:t>–</w:t>
      </w:r>
      <w:r w:rsidR="001B3127" w:rsidRPr="001B3127">
        <w:rPr>
          <w:rFonts w:ascii="Arial" w:hAnsi="Arial" w:cs="Arial"/>
          <w:i/>
          <w:sz w:val="18"/>
          <w:szCs w:val="18"/>
          <w:lang w:val="en-US"/>
        </w:rPr>
        <w:t>F157</w:t>
      </w:r>
    </w:p>
    <w:p w14:paraId="27A8B6B4" w14:textId="0E75EACA" w:rsidR="001B3127" w:rsidRPr="001B3127" w:rsidRDefault="001B3127" w:rsidP="00C15D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  <w:lang w:val="en-US"/>
        </w:rPr>
      </w:pPr>
      <w:r w:rsidRPr="001B3127">
        <w:rPr>
          <w:rFonts w:ascii="Arial" w:hAnsi="Arial" w:cs="Arial"/>
          <w:i/>
          <w:sz w:val="18"/>
          <w:szCs w:val="18"/>
          <w:lang w:val="en-US"/>
        </w:rPr>
        <w:t>Early Human Development 86 (2010) 263</w:t>
      </w:r>
      <w:r w:rsidRPr="001B3127">
        <w:rPr>
          <w:rFonts w:ascii="Arial" w:hAnsi="Arial" w:cs="Arial"/>
          <w:b/>
          <w:bCs/>
          <w:i/>
          <w:sz w:val="18"/>
          <w:szCs w:val="18"/>
          <w:lang w:val="en-US"/>
        </w:rPr>
        <w:t>–</w:t>
      </w:r>
      <w:r w:rsidRPr="001B3127">
        <w:rPr>
          <w:rFonts w:ascii="Arial" w:hAnsi="Arial" w:cs="Arial"/>
          <w:i/>
          <w:sz w:val="18"/>
          <w:szCs w:val="18"/>
          <w:lang w:val="en-US"/>
        </w:rPr>
        <w:t>267</w:t>
      </w:r>
    </w:p>
    <w:p w14:paraId="55EBE218" w14:textId="77777777" w:rsidR="00C15D7F" w:rsidRDefault="00C15D7F"/>
    <w:p w14:paraId="5D11EFC9" w14:textId="17F2F9C8" w:rsidR="00837C72" w:rsidRDefault="00837C72" w:rsidP="000059AD">
      <w:pPr>
        <w:pStyle w:val="ListParagraph"/>
        <w:numPr>
          <w:ilvl w:val="0"/>
          <w:numId w:val="1"/>
        </w:numPr>
      </w:pPr>
      <w:r>
        <w:t xml:space="preserve">Hypoglycémie risquée chez le </w:t>
      </w:r>
      <w:proofErr w:type="spellStart"/>
      <w:r>
        <w:t>nné</w:t>
      </w:r>
      <w:proofErr w:type="spellEnd"/>
      <w:r>
        <w:t xml:space="preserve"> car peu de stock en glucagon et système de contre régulation inefficaces.</w:t>
      </w:r>
    </w:p>
    <w:p w14:paraId="554DA595" w14:textId="484A14EF" w:rsidR="00C15D7F" w:rsidRDefault="000059AD" w:rsidP="000059AD">
      <w:pPr>
        <w:pStyle w:val="ListParagraph"/>
        <w:numPr>
          <w:ilvl w:val="0"/>
          <w:numId w:val="1"/>
        </w:numPr>
      </w:pPr>
      <w:r>
        <w:t xml:space="preserve">Problème de consensus sur la définition de l’hypoglycémie : 1,67-3,33 </w:t>
      </w:r>
      <w:proofErr w:type="spellStart"/>
      <w:r>
        <w:t>mmol</w:t>
      </w:r>
      <w:proofErr w:type="spellEnd"/>
      <w:r>
        <w:t>/L</w:t>
      </w:r>
      <w:r w:rsidR="00837C72">
        <w:t> ?</w:t>
      </w:r>
    </w:p>
    <w:p w14:paraId="70C95B90" w14:textId="39BECDDE" w:rsidR="00722858" w:rsidRDefault="00722858" w:rsidP="000059AD">
      <w:pPr>
        <w:pStyle w:val="ListParagraph"/>
        <w:numPr>
          <w:ilvl w:val="0"/>
          <w:numId w:val="1"/>
        </w:numPr>
      </w:pPr>
      <w:r>
        <w:t>L</w:t>
      </w:r>
      <w:r w:rsidR="003A1133">
        <w:t xml:space="preserve">es hypoglycémies SYMPTOMATIQUES, profondes ou/et prolongées </w:t>
      </w:r>
      <w:r>
        <w:t xml:space="preserve">ont un </w:t>
      </w:r>
      <w:r w:rsidR="003A1133">
        <w:t xml:space="preserve">risque important de </w:t>
      </w:r>
      <w:r>
        <w:t>mauvais pronostic avec des troubles des apprentissages, des retards mentaux, des crises convulsives récurrentes, des paralysies.</w:t>
      </w:r>
    </w:p>
    <w:p w14:paraId="1ED6306E" w14:textId="77777777" w:rsidR="000059AD" w:rsidRDefault="000059AD" w:rsidP="000059AD">
      <w:pPr>
        <w:ind w:left="360"/>
      </w:pPr>
    </w:p>
    <w:p w14:paraId="1A0CA3A3" w14:textId="77777777" w:rsidR="000059AD" w:rsidRPr="002915EE" w:rsidRDefault="000059AD" w:rsidP="00FA16EA">
      <w:pPr>
        <w:rPr>
          <w:u w:val="single"/>
        </w:rPr>
      </w:pPr>
      <w:r w:rsidRPr="002915EE">
        <w:rPr>
          <w:u w:val="single"/>
        </w:rPr>
        <w:t>FACTEURS DE RISQUE</w:t>
      </w:r>
    </w:p>
    <w:p w14:paraId="71EE561D" w14:textId="77777777" w:rsidR="000059AD" w:rsidRDefault="000059AD" w:rsidP="00D15CF1">
      <w:pPr>
        <w:ind w:left="1276"/>
      </w:pPr>
      <w:r>
        <w:rPr>
          <w:noProof/>
          <w:lang w:val="en-US"/>
        </w:rPr>
        <w:drawing>
          <wp:inline distT="0" distB="0" distL="0" distR="0" wp14:anchorId="5F6A95B0" wp14:editId="16FD6438">
            <wp:extent cx="4335603" cy="2002578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767" cy="200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29B51" w14:textId="0D7FEC49" w:rsidR="002915EE" w:rsidRDefault="002915EE" w:rsidP="002915EE">
      <w:pPr>
        <w:pStyle w:val="ListParagraph"/>
        <w:numPr>
          <w:ilvl w:val="0"/>
          <w:numId w:val="1"/>
        </w:numPr>
      </w:pPr>
      <w:r>
        <w:t xml:space="preserve">72% des SGA et des 16% macrosomie ont une glycémie &lt; 2,61 </w:t>
      </w:r>
      <w:proofErr w:type="spellStart"/>
      <w:r>
        <w:t>mmol</w:t>
      </w:r>
      <w:proofErr w:type="spellEnd"/>
      <w:r>
        <w:t>/L</w:t>
      </w:r>
    </w:p>
    <w:p w14:paraId="1A686CF3" w14:textId="77777777" w:rsidR="00722858" w:rsidRDefault="00722858" w:rsidP="00722858"/>
    <w:p w14:paraId="208CBFAC" w14:textId="78A0CB8B" w:rsidR="00722858" w:rsidRPr="00722858" w:rsidRDefault="00722858" w:rsidP="00722858">
      <w:pPr>
        <w:rPr>
          <w:u w:val="single"/>
        </w:rPr>
      </w:pPr>
      <w:r w:rsidRPr="00722858">
        <w:rPr>
          <w:u w:val="single"/>
        </w:rPr>
        <w:t>METHODES DE DOSAGES</w:t>
      </w:r>
    </w:p>
    <w:p w14:paraId="1076D8D3" w14:textId="15D22FE9" w:rsidR="00BE60C4" w:rsidRDefault="00BE60C4" w:rsidP="00455829">
      <w:pPr>
        <w:pStyle w:val="ListParagraph"/>
        <w:numPr>
          <w:ilvl w:val="0"/>
          <w:numId w:val="1"/>
        </w:numPr>
      </w:pPr>
      <w:r>
        <w:t>Le dosage sous cutané en continu (à l’étude pour la néonat</w:t>
      </w:r>
      <w:r w:rsidR="009C28CE">
        <w:t>ologie</w:t>
      </w:r>
      <w:r>
        <w:t>) mais risqu</w:t>
      </w:r>
      <w:r w:rsidR="009C28CE">
        <w:t>e infectieux et imprécis en cas d’</w:t>
      </w:r>
      <w:proofErr w:type="spellStart"/>
      <w:r w:rsidR="009C28CE">
        <w:t>oedèmes</w:t>
      </w:r>
      <w:proofErr w:type="spellEnd"/>
      <w:r w:rsidR="009C28CE">
        <w:t>. Peut rester en place 7 jours mais doit être calibré par un dosage sanguin 4x/j !</w:t>
      </w:r>
    </w:p>
    <w:p w14:paraId="58971ACD" w14:textId="44FDFB6F" w:rsidR="00455829" w:rsidRDefault="00455829" w:rsidP="00455829">
      <w:pPr>
        <w:pStyle w:val="ListParagraph"/>
        <w:numPr>
          <w:ilvl w:val="0"/>
          <w:numId w:val="1"/>
        </w:numPr>
      </w:pPr>
      <w:r>
        <w:t>Le dosage enzymatique</w:t>
      </w:r>
      <w:r w:rsidR="00D412CB">
        <w:t xml:space="preserve"> au laboratoire (Gold standard) qui mesure une réaction enzymatique (glucose oxydase, </w:t>
      </w:r>
      <w:proofErr w:type="spellStart"/>
      <w:r w:rsidR="00D412CB">
        <w:t>hexokinase</w:t>
      </w:r>
      <w:proofErr w:type="spellEnd"/>
      <w:r w:rsidR="00D412CB">
        <w:t xml:space="preserve"> ou glucose DH)</w:t>
      </w:r>
      <w:r>
        <w:t xml:space="preserve"> </w:t>
      </w:r>
    </w:p>
    <w:p w14:paraId="4B08B69E" w14:textId="77777777" w:rsidR="006238D3" w:rsidRDefault="006238D3" w:rsidP="006238D3">
      <w:pPr>
        <w:pStyle w:val="ListParagraph"/>
        <w:numPr>
          <w:ilvl w:val="0"/>
          <w:numId w:val="1"/>
        </w:numPr>
      </w:pPr>
      <w:r>
        <w:t xml:space="preserve">Les glucomètres rapides : </w:t>
      </w:r>
    </w:p>
    <w:p w14:paraId="2852B520" w14:textId="0F8F6795" w:rsidR="006238D3" w:rsidRDefault="004A3953" w:rsidP="006238D3">
      <w:pPr>
        <w:pStyle w:val="ListParagraph"/>
        <w:numPr>
          <w:ilvl w:val="1"/>
          <w:numId w:val="1"/>
        </w:numPr>
      </w:pPr>
      <w:bookmarkStart w:id="0" w:name="_GoBack"/>
      <w:r>
        <w:rPr>
          <w:rFonts w:ascii="Arial" w:hAnsi="Arial" w:cs="Arial"/>
          <w:lang w:val="en-US"/>
        </w:rPr>
        <w:t xml:space="preserve">La </w:t>
      </w:r>
      <w:proofErr w:type="spellStart"/>
      <w:r>
        <w:rPr>
          <w:rFonts w:ascii="Arial" w:hAnsi="Arial" w:cs="Arial"/>
          <w:lang w:val="en-US"/>
        </w:rPr>
        <w:t>bandelette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glucomètre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contient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une</w:t>
      </w:r>
      <w:proofErr w:type="spellEnd"/>
      <w:r>
        <w:rPr>
          <w:rFonts w:ascii="Arial" w:hAnsi="Arial" w:cs="Arial"/>
          <w:lang w:val="en-US"/>
        </w:rPr>
        <w:t xml:space="preserve"> enzyme </w:t>
      </w:r>
      <w:proofErr w:type="spellStart"/>
      <w:r>
        <w:rPr>
          <w:rFonts w:ascii="Arial" w:hAnsi="Arial" w:cs="Arial"/>
          <w:lang w:val="en-US"/>
        </w:rPr>
        <w:t>électrode</w:t>
      </w:r>
      <w:proofErr w:type="spellEnd"/>
      <w:r>
        <w:rPr>
          <w:rFonts w:ascii="Arial" w:hAnsi="Arial" w:cs="Arial"/>
          <w:lang w:val="en-US"/>
        </w:rPr>
        <w:t xml:space="preserve"> </w:t>
      </w:r>
      <w:bookmarkEnd w:id="0"/>
      <w:proofErr w:type="spellStart"/>
      <w:r>
        <w:rPr>
          <w:rFonts w:ascii="Arial" w:hAnsi="Arial" w:cs="Arial"/>
          <w:lang w:val="en-US"/>
        </w:rPr>
        <w:t>appelée</w:t>
      </w:r>
      <w:proofErr w:type="spellEnd"/>
      <w:r>
        <w:rPr>
          <w:rFonts w:ascii="Arial" w:hAnsi="Arial" w:cs="Arial"/>
          <w:lang w:val="en-US"/>
        </w:rPr>
        <w:t xml:space="preserve"> glucose oxidase</w:t>
      </w:r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ou</w:t>
      </w:r>
      <w:proofErr w:type="spellEnd"/>
      <w:r>
        <w:rPr>
          <w:rFonts w:ascii="Arial" w:hAnsi="Arial" w:cs="Arial"/>
          <w:lang w:val="en-US"/>
        </w:rPr>
        <w:t xml:space="preserve"> hexokinase)</w:t>
      </w:r>
      <w:r>
        <w:rPr>
          <w:rFonts w:ascii="Arial" w:hAnsi="Arial" w:cs="Arial"/>
          <w:lang w:val="en-US"/>
        </w:rPr>
        <w:t xml:space="preserve">, qui </w:t>
      </w:r>
      <w:proofErr w:type="spellStart"/>
      <w:r>
        <w:rPr>
          <w:rFonts w:ascii="Arial" w:hAnsi="Arial" w:cs="Arial"/>
          <w:lang w:val="en-US"/>
        </w:rPr>
        <w:t>réagit</w:t>
      </w:r>
      <w:proofErr w:type="spellEnd"/>
      <w:r>
        <w:rPr>
          <w:rFonts w:ascii="Arial" w:hAnsi="Arial" w:cs="Arial"/>
          <w:lang w:val="en-US"/>
        </w:rPr>
        <w:t xml:space="preserve"> avec le sang </w:t>
      </w:r>
      <w:proofErr w:type="spellStart"/>
      <w:r>
        <w:rPr>
          <w:rFonts w:ascii="Arial" w:hAnsi="Arial" w:cs="Arial"/>
          <w:lang w:val="en-US"/>
        </w:rPr>
        <w:t>lorsque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celui</w:t>
      </w:r>
      <w:proofErr w:type="spellEnd"/>
      <w:r>
        <w:rPr>
          <w:rFonts w:ascii="Arial" w:hAnsi="Arial" w:cs="Arial"/>
          <w:lang w:val="en-US"/>
        </w:rPr>
        <w:t xml:space="preserve">-ci se </w:t>
      </w:r>
      <w:proofErr w:type="spellStart"/>
      <w:r>
        <w:rPr>
          <w:rFonts w:ascii="Arial" w:hAnsi="Arial" w:cs="Arial"/>
          <w:lang w:val="en-US"/>
        </w:rPr>
        <w:t>répand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sur</w:t>
      </w:r>
      <w:proofErr w:type="spellEnd"/>
      <w:r>
        <w:rPr>
          <w:rFonts w:ascii="Arial" w:hAnsi="Arial" w:cs="Arial"/>
          <w:lang w:val="en-US"/>
        </w:rPr>
        <w:t xml:space="preserve"> la </w:t>
      </w:r>
      <w:proofErr w:type="spellStart"/>
      <w:r>
        <w:rPr>
          <w:rFonts w:ascii="Arial" w:hAnsi="Arial" w:cs="Arial"/>
          <w:lang w:val="en-US"/>
        </w:rPr>
        <w:t>bandelette</w:t>
      </w:r>
      <w:proofErr w:type="spellEnd"/>
      <w:r>
        <w:rPr>
          <w:rFonts w:ascii="Arial" w:hAnsi="Arial" w:cs="Arial"/>
          <w:lang w:val="en-US"/>
        </w:rPr>
        <w:t xml:space="preserve">=&gt; le glucometer </w:t>
      </w:r>
      <w:proofErr w:type="spellStart"/>
      <w:r>
        <w:rPr>
          <w:rFonts w:ascii="Arial" w:hAnsi="Arial" w:cs="Arial"/>
          <w:lang w:val="en-US"/>
        </w:rPr>
        <w:t>mesure</w:t>
      </w:r>
      <w:proofErr w:type="spellEnd"/>
      <w:r w:rsidR="006238D3">
        <w:t xml:space="preserve"> </w:t>
      </w:r>
      <w:r>
        <w:t>une coloration</w:t>
      </w:r>
      <w:r>
        <w:t xml:space="preserve"> (1</w:t>
      </w:r>
      <w:r w:rsidRPr="004A3953">
        <w:rPr>
          <w:vertAlign w:val="superscript"/>
        </w:rPr>
        <w:t>ère</w:t>
      </w:r>
      <w:r>
        <w:t xml:space="preserve"> génération) ou</w:t>
      </w:r>
      <w:r>
        <w:t xml:space="preserve"> </w:t>
      </w:r>
      <w:proofErr w:type="gramStart"/>
      <w:r w:rsidR="006238D3">
        <w:t>un</w:t>
      </w:r>
      <w:proofErr w:type="gramEnd"/>
      <w:r w:rsidR="006238D3">
        <w:t xml:space="preserve"> courant </w:t>
      </w:r>
      <w:r w:rsidR="006238D3" w:rsidRPr="004A3953">
        <w:t xml:space="preserve">électrique </w:t>
      </w:r>
      <w:r w:rsidRPr="004A3953">
        <w:t>(électrons produit par oxydation)</w:t>
      </w:r>
      <w:r>
        <w:rPr>
          <w:u w:val="single"/>
        </w:rPr>
        <w:t xml:space="preserve"> </w:t>
      </w:r>
      <w:r w:rsidR="006238D3">
        <w:t>par une réaction enzymatique qui est proportionnel à la quantité de sucre.</w:t>
      </w:r>
    </w:p>
    <w:p w14:paraId="07FB56E2" w14:textId="6B0E0F80" w:rsidR="006238D3" w:rsidRPr="003B283F" w:rsidRDefault="006238D3" w:rsidP="006238D3">
      <w:pPr>
        <w:pStyle w:val="ListParagraph"/>
        <w:numPr>
          <w:ilvl w:val="1"/>
          <w:numId w:val="1"/>
        </w:numPr>
      </w:pPr>
      <w:r>
        <w:t>Ont été fait pour l’adulte normo- ou hyper- glycémique mais pas pour les nouveau-né hypoglycémique qui ont de nombreux facteurs influençant la précision du dosage (</w:t>
      </w:r>
      <w:r w:rsidRPr="008A04B5">
        <w:rPr>
          <w:color w:val="FF0000"/>
        </w:rPr>
        <w:t xml:space="preserve">hématocrite, acidose métabolique, </w:t>
      </w:r>
      <w:proofErr w:type="spellStart"/>
      <w:r w:rsidR="00406170">
        <w:rPr>
          <w:color w:val="FF0000"/>
        </w:rPr>
        <w:t>hypoperfusion</w:t>
      </w:r>
      <w:proofErr w:type="spellEnd"/>
      <w:r w:rsidR="00406170">
        <w:rPr>
          <w:color w:val="FF0000"/>
        </w:rPr>
        <w:t xml:space="preserve">, </w:t>
      </w:r>
      <w:r w:rsidRPr="008A04B5">
        <w:rPr>
          <w:color w:val="FF0000"/>
        </w:rPr>
        <w:t xml:space="preserve">oxygénothérapie, </w:t>
      </w:r>
      <w:proofErr w:type="spellStart"/>
      <w:r w:rsidRPr="008A04B5">
        <w:rPr>
          <w:color w:val="FF0000"/>
        </w:rPr>
        <w:t>oedèmes</w:t>
      </w:r>
      <w:proofErr w:type="spellEnd"/>
      <w:r w:rsidRPr="008A04B5">
        <w:rPr>
          <w:color w:val="FF0000"/>
        </w:rPr>
        <w:t>, hyper bilirubinémie</w:t>
      </w:r>
      <w:r>
        <w:t xml:space="preserve">) =&gt; sont </w:t>
      </w:r>
      <w:r w:rsidRPr="008A04B5">
        <w:rPr>
          <w:b/>
        </w:rPr>
        <w:t>imprécis</w:t>
      </w:r>
      <w:r>
        <w:t xml:space="preserve"> (imprécision acceptée par la FDA de </w:t>
      </w:r>
      <w:r w:rsidRPr="008A04B5">
        <w:rPr>
          <w:b/>
        </w:rPr>
        <w:t xml:space="preserve">+/- 0,83 </w:t>
      </w:r>
      <w:proofErr w:type="spellStart"/>
      <w:r w:rsidRPr="008A04B5">
        <w:rPr>
          <w:b/>
        </w:rPr>
        <w:t>mmol</w:t>
      </w:r>
      <w:proofErr w:type="spellEnd"/>
      <w:r w:rsidRPr="008A04B5">
        <w:rPr>
          <w:b/>
        </w:rPr>
        <w:t>/l</w:t>
      </w:r>
      <w:r>
        <w:t xml:space="preserve">) =&gt; on peut s’attendre à une </w:t>
      </w:r>
      <w:r w:rsidRPr="003B283F">
        <w:t>erreur de 10% dans 75% des cas et une erreur de 20% dans 57% des cas d’hypoglycémie.</w:t>
      </w:r>
    </w:p>
    <w:p w14:paraId="24A319EA" w14:textId="2E6F01EE" w:rsidR="006238D3" w:rsidRDefault="006238D3" w:rsidP="00455829">
      <w:pPr>
        <w:pStyle w:val="ListParagraph"/>
        <w:numPr>
          <w:ilvl w:val="0"/>
          <w:numId w:val="1"/>
        </w:numPr>
      </w:pPr>
      <w:r>
        <w:t>Les dosages artériels donnent une valeur plus élevée que les dosages capillaires qui sont plus haut que les veineux.</w:t>
      </w:r>
    </w:p>
    <w:p w14:paraId="53E0FE50" w14:textId="77777777" w:rsidR="00D412CB" w:rsidRDefault="00D412CB" w:rsidP="006238D3">
      <w:pPr>
        <w:pStyle w:val="ListParagraph"/>
        <w:ind w:left="1440"/>
      </w:pPr>
    </w:p>
    <w:p w14:paraId="0E3C6ECE" w14:textId="77777777" w:rsidR="002915EE" w:rsidRDefault="002915EE" w:rsidP="000059AD">
      <w:pPr>
        <w:ind w:left="360"/>
      </w:pPr>
    </w:p>
    <w:p w14:paraId="3F739832" w14:textId="77777777" w:rsidR="002915EE" w:rsidRDefault="002915EE" w:rsidP="000059AD">
      <w:pPr>
        <w:ind w:left="360"/>
      </w:pPr>
    </w:p>
    <w:sectPr w:rsidR="002915EE" w:rsidSect="00C15D7F">
      <w:pgSz w:w="11900" w:h="16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311DD"/>
    <w:multiLevelType w:val="hybridMultilevel"/>
    <w:tmpl w:val="BD66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7F"/>
    <w:rsid w:val="000059AD"/>
    <w:rsid w:val="0018505F"/>
    <w:rsid w:val="001B3127"/>
    <w:rsid w:val="002915EE"/>
    <w:rsid w:val="003A1133"/>
    <w:rsid w:val="003B283F"/>
    <w:rsid w:val="00406170"/>
    <w:rsid w:val="00455829"/>
    <w:rsid w:val="004A3953"/>
    <w:rsid w:val="006238D3"/>
    <w:rsid w:val="00722858"/>
    <w:rsid w:val="007A651D"/>
    <w:rsid w:val="00837C72"/>
    <w:rsid w:val="008A04B5"/>
    <w:rsid w:val="009C28CE"/>
    <w:rsid w:val="00BE60C4"/>
    <w:rsid w:val="00C15D7F"/>
    <w:rsid w:val="00CC1744"/>
    <w:rsid w:val="00D15CF1"/>
    <w:rsid w:val="00D412CB"/>
    <w:rsid w:val="00FA16EA"/>
    <w:rsid w:val="00F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6DC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9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9AD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9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9AD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284</Words>
  <Characters>1622</Characters>
  <Application>Microsoft Macintosh Word</Application>
  <DocSecurity>0</DocSecurity>
  <Lines>13</Lines>
  <Paragraphs>3</Paragraphs>
  <ScaleCrop>false</ScaleCrop>
  <Company>-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 mz</dc:creator>
  <cp:keywords/>
  <dc:description/>
  <cp:lastModifiedBy>mz mz</cp:lastModifiedBy>
  <cp:revision>17</cp:revision>
  <dcterms:created xsi:type="dcterms:W3CDTF">2014-10-07T18:33:00Z</dcterms:created>
  <dcterms:modified xsi:type="dcterms:W3CDTF">2014-10-07T20:19:00Z</dcterms:modified>
</cp:coreProperties>
</file>