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3D61" w14:textId="57CC4EFC" w:rsidR="0018505F" w:rsidRPr="00B57EE2" w:rsidRDefault="00E35B2A" w:rsidP="00B57EE2">
      <w:pPr>
        <w:jc w:val="center"/>
        <w:rPr>
          <w:b/>
          <w:u w:val="single"/>
        </w:rPr>
      </w:pPr>
      <w:r w:rsidRPr="00B57EE2">
        <w:rPr>
          <w:b/>
          <w:u w:val="single"/>
        </w:rPr>
        <w:t>METAMIZOLE SODIQUE</w:t>
      </w:r>
    </w:p>
    <w:p w14:paraId="1CE75083" w14:textId="77777777" w:rsidR="00B57EE2" w:rsidRDefault="00B57EE2"/>
    <w:p w14:paraId="710873C0" w14:textId="77777777" w:rsidR="00363B53" w:rsidRDefault="00363B53"/>
    <w:p w14:paraId="204CE114" w14:textId="77777777" w:rsidR="00E35B2A" w:rsidRDefault="00E35B2A">
      <w:pPr>
        <w:rPr>
          <w:b/>
        </w:rPr>
      </w:pPr>
    </w:p>
    <w:p w14:paraId="40638459" w14:textId="77777777" w:rsidR="00E35B2A" w:rsidRDefault="00E35B2A">
      <w:pPr>
        <w:rPr>
          <w:b/>
        </w:rPr>
      </w:pPr>
    </w:p>
    <w:p w14:paraId="6C4D8100" w14:textId="77777777" w:rsidR="00363B53" w:rsidRDefault="00363B53">
      <w:r w:rsidRPr="00363B53">
        <w:rPr>
          <w:b/>
        </w:rPr>
        <w:t>MECANISME </w:t>
      </w:r>
      <w:r>
        <w:t>:</w:t>
      </w:r>
    </w:p>
    <w:p w14:paraId="6906D947" w14:textId="5918AA44" w:rsidR="0052406D" w:rsidRPr="0052406D" w:rsidRDefault="0052406D" w:rsidP="00B57EE2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Peu connu. </w:t>
      </w:r>
      <w:r w:rsidR="00B57EE2" w:rsidRPr="00B57EE2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Interaction centrale et périphérique de </w:t>
      </w:r>
      <w:r w:rsidR="00B57EE2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8 </w:t>
      </w:r>
      <w:r w:rsidR="00B57EE2" w:rsidRPr="00B57EE2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métabolites avec effet</w:t>
      </w:r>
    </w:p>
    <w:p w14:paraId="10491091" w14:textId="192FA624" w:rsidR="0052406D" w:rsidRPr="0052406D" w:rsidRDefault="0052406D" w:rsidP="0052406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Analgésique</w:t>
      </w:r>
    </w:p>
    <w:p w14:paraId="2BC1B5AC" w14:textId="7B1AF1AE" w:rsidR="0052406D" w:rsidRPr="0052406D" w:rsidRDefault="0052406D" w:rsidP="0052406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Spasmolytique</w:t>
      </w:r>
      <w:r w:rsidR="00DC5D7B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DC5D7B" w:rsidRPr="00DC5D7B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sym w:font="Wingdings" w:char="F0E0"/>
      </w:r>
      <w:r w:rsidR="00DC5D7B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utile en cas de colite (néphrétique, biliaire</w:t>
      </w:r>
      <w:proofErr w:type="gramStart"/>
      <w:r w:rsidR="00DC5D7B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,…)</w:t>
      </w:r>
      <w:proofErr w:type="gramEnd"/>
    </w:p>
    <w:p w14:paraId="745AC2F9" w14:textId="21D08F5D" w:rsidR="00B57EE2" w:rsidRPr="0052406D" w:rsidRDefault="0052406D" w:rsidP="0052406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A</w:t>
      </w:r>
      <w:r w:rsidR="00B57EE2" w:rsidRPr="00B57EE2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ntipyrétique.</w:t>
      </w:r>
    </w:p>
    <w:p w14:paraId="356FE198" w14:textId="36014027" w:rsidR="0052406D" w:rsidRPr="00B57EE2" w:rsidRDefault="0052406D" w:rsidP="00B57EE2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Effet antalgique similaire </w:t>
      </w:r>
      <w:proofErr w:type="gramStart"/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à</w:t>
      </w:r>
      <w:proofErr w:type="gramEnd"/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opiacé faible</w:t>
      </w:r>
    </w:p>
    <w:p w14:paraId="58F6D2E6" w14:textId="77777777" w:rsidR="00B57EE2" w:rsidRPr="00B57EE2" w:rsidRDefault="00B57EE2" w:rsidP="00B57EE2">
      <w:pPr>
        <w:tabs>
          <w:tab w:val="left" w:pos="7230"/>
        </w:tabs>
        <w:ind w:left="360"/>
        <w:rPr>
          <w:rFonts w:ascii="Times" w:eastAsia="Times New Roman" w:hAnsi="Times" w:cs="Times New Roman"/>
          <w:sz w:val="20"/>
          <w:szCs w:val="20"/>
        </w:rPr>
      </w:pPr>
    </w:p>
    <w:p w14:paraId="1005B8EB" w14:textId="77777777" w:rsidR="00B57EE2" w:rsidRDefault="00EF1AA8" w:rsidP="00B57EE2">
      <w:pPr>
        <w:ind w:left="2410"/>
      </w:pPr>
      <w:r>
        <w:rPr>
          <w:noProof/>
          <w:lang w:val="en-US"/>
        </w:rPr>
        <w:drawing>
          <wp:inline distT="0" distB="0" distL="0" distR="0" wp14:anchorId="101158F9" wp14:editId="048EF365">
            <wp:extent cx="2521189" cy="2109682"/>
            <wp:effectExtent l="0" t="0" r="0" b="0"/>
            <wp:docPr id="2" name="Picture 2" descr="HD:Users:mz:Desktop:Capture d’écran 2016-09-27 à 10.46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mz:Desktop:Capture d’écran 2016-09-27 à 10.46.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89" cy="21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D069" w14:textId="77777777" w:rsidR="00EF1AA8" w:rsidRDefault="00EF1AA8" w:rsidP="00EF1AA8">
      <w:pPr>
        <w:pStyle w:val="NormalWeb"/>
        <w:spacing w:before="0" w:beforeAutospacing="0" w:after="0" w:afterAutospacing="0"/>
        <w:ind w:left="2410"/>
        <w:rPr>
          <w:rFonts w:asciiTheme="minorHAnsi" w:hAnsi="Cambria" w:cstheme="minorBidi"/>
          <w:color w:val="000000" w:themeColor="text1"/>
          <w:kern w:val="24"/>
          <w:lang w:val="en-US"/>
        </w:rPr>
      </w:pP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Effet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du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médicament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variable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selon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vitesse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des </w:t>
      </w:r>
    </w:p>
    <w:p w14:paraId="2FAF1919" w14:textId="77777777" w:rsidR="00EF1AA8" w:rsidRDefault="00EF1AA8" w:rsidP="00EF1AA8">
      <w:pPr>
        <w:pStyle w:val="NormalWeb"/>
        <w:spacing w:before="0" w:beforeAutospacing="0" w:after="0" w:afterAutospacing="0"/>
        <w:ind w:left="2410"/>
        <w:rPr>
          <w:rFonts w:asciiTheme="minorHAnsi" w:hAnsi="Cambria" w:cstheme="minorBidi"/>
          <w:color w:val="000000" w:themeColor="text1"/>
          <w:kern w:val="24"/>
          <w:lang w:val="en-US"/>
        </w:rPr>
      </w:pPr>
      <w:proofErr w:type="gram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N-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acé</w:t>
      </w:r>
      <w:r>
        <w:rPr>
          <w:rFonts w:asciiTheme="minorHAnsi" w:hAnsi="Cambria" w:cstheme="minorBidi"/>
          <w:color w:val="000000" w:themeColor="text1"/>
          <w:kern w:val="24"/>
          <w:lang w:val="en-US"/>
        </w:rPr>
        <w:t>tyl</w:t>
      </w:r>
      <w:proofErr w:type="spellEnd"/>
      <w:r>
        <w:rPr>
          <w:rFonts w:asciiTheme="minorHAnsi" w:hAnsi="Cambria" w:cstheme="minorBidi"/>
          <w:color w:val="000000" w:themeColor="text1"/>
          <w:kern w:val="24"/>
          <w:lang w:val="en-US"/>
        </w:rPr>
        <w:t>-</w:t>
      </w:r>
      <w:proofErr w:type="spellStart"/>
      <w:r w:rsidRPr="00EF1AA8">
        <w:rPr>
          <w:rFonts w:asciiTheme="minorHAnsi" w:hAnsi="Cambria" w:cstheme="minorBidi"/>
          <w:noProof/>
          <w:color w:val="000000" w:themeColor="text1"/>
          <w:kern w:val="24"/>
          <w:lang w:val="en-US"/>
        </w:rPr>
        <w:t>transfé</w:t>
      </w:r>
      <w:r>
        <w:rPr>
          <w:rFonts w:asciiTheme="minorHAnsi" w:hAnsi="Cambria" w:cstheme="minorBidi"/>
          <w:noProof/>
          <w:color w:val="000000" w:themeColor="text1"/>
          <w:kern w:val="24"/>
          <w:lang w:val="en-US"/>
        </w:rPr>
        <w:t>r</w:t>
      </w:r>
      <w:r w:rsidRPr="00EF1AA8">
        <w:rPr>
          <w:rFonts w:asciiTheme="minorHAnsi" w:hAnsi="Cambria" w:cstheme="minorBidi"/>
          <w:noProof/>
          <w:color w:val="000000" w:themeColor="text1"/>
          <w:kern w:val="24"/>
          <w:lang w:val="en-US"/>
        </w:rPr>
        <w:t>ases</w:t>
      </w:r>
      <w:proofErr w:type="spellEnd"/>
      <w:r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(</w:t>
      </w:r>
      <w:proofErr w:type="spellStart"/>
      <w:r>
        <w:rPr>
          <w:rFonts w:asciiTheme="minorHAnsi" w:hAnsi="Cambria" w:cstheme="minorBidi"/>
          <w:color w:val="000000" w:themeColor="text1"/>
          <w:kern w:val="24"/>
          <w:lang w:val="en-US"/>
        </w:rPr>
        <w:t>rapide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ou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lent).</w:t>
      </w:r>
      <w:proofErr w:type="gram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</w:t>
      </w:r>
    </w:p>
    <w:p w14:paraId="6B629C76" w14:textId="77777777" w:rsidR="00EF1AA8" w:rsidRPr="00EF1AA8" w:rsidRDefault="00EF1AA8" w:rsidP="00EF1AA8">
      <w:pPr>
        <w:pStyle w:val="NormalWeb"/>
        <w:spacing w:before="0" w:beforeAutospacing="0" w:after="0" w:afterAutospacing="0"/>
        <w:ind w:left="2410"/>
      </w:pP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Acétyleurs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rapides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 xml:space="preserve"> = 40-70% des </w:t>
      </w:r>
      <w:proofErr w:type="spellStart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caucasiens</w:t>
      </w:r>
      <w:proofErr w:type="spellEnd"/>
      <w:r w:rsidRPr="00EF1AA8">
        <w:rPr>
          <w:rFonts w:asciiTheme="minorHAnsi" w:hAnsi="Cambria" w:cstheme="minorBidi"/>
          <w:color w:val="000000" w:themeColor="text1"/>
          <w:kern w:val="24"/>
          <w:lang w:val="en-US"/>
        </w:rPr>
        <w:t>.</w:t>
      </w:r>
    </w:p>
    <w:p w14:paraId="4119468A" w14:textId="77777777" w:rsidR="00EF1AA8" w:rsidRDefault="00363B53" w:rsidP="00363B53">
      <w:r w:rsidRPr="00363B53">
        <w:rPr>
          <w:b/>
        </w:rPr>
        <w:t>POSOLOGIE </w:t>
      </w:r>
      <w:r>
        <w:t>:</w:t>
      </w:r>
    </w:p>
    <w:tbl>
      <w:tblPr>
        <w:tblW w:w="0" w:type="auto"/>
        <w:tblInd w:w="1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411"/>
        <w:gridCol w:w="1417"/>
        <w:gridCol w:w="2248"/>
      </w:tblGrid>
      <w:tr w:rsidR="001943C0" w:rsidRPr="001943C0" w14:paraId="45922FF8" w14:textId="77777777" w:rsidTr="001943C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1B3F6BA" w14:textId="77777777" w:rsidR="001943C0" w:rsidRPr="001943C0" w:rsidRDefault="001943C0" w:rsidP="001943C0">
            <w:pPr>
              <w:pStyle w:val="ListParagraph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Poids corporel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700CE1D5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Age (</w:t>
            </w:r>
            <w:proofErr w:type="spellStart"/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approx</w:t>
            </w:r>
            <w:proofErr w:type="spellEnd"/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3940A54A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Dose unitaire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011CA80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Dose quotidienne max.</w:t>
            </w:r>
          </w:p>
        </w:tc>
      </w:tr>
      <w:tr w:rsidR="001943C0" w:rsidRPr="001943C0" w14:paraId="3335B856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14472207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46–53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7F11AFF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13–14 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47A561CF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15–35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EA60C61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35 gouttes</w:t>
            </w:r>
          </w:p>
        </w:tc>
      </w:tr>
      <w:tr w:rsidR="001943C0" w:rsidRPr="001943C0" w14:paraId="3E1504F1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EED7F94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31–45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68441D6A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10–12 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182964BF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10–30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70AA2D2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30 gouttes</w:t>
            </w:r>
          </w:p>
        </w:tc>
      </w:tr>
      <w:tr w:rsidR="001943C0" w:rsidRPr="001943C0" w14:paraId="59E43B5B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476B634C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24–30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7DCD3AF7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7–9 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455C0633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8–20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76669EBA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20 gouttes</w:t>
            </w:r>
          </w:p>
        </w:tc>
      </w:tr>
      <w:tr w:rsidR="001943C0" w:rsidRPr="001943C0" w14:paraId="1BFE8143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3C60094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16–23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7E110487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4–6 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6DE7BC48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5–15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6E2EFF21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15 gouttes</w:t>
            </w:r>
          </w:p>
        </w:tc>
      </w:tr>
      <w:tr w:rsidR="001943C0" w:rsidRPr="001943C0" w14:paraId="624C417E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DB1ACF4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9–15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7444B64C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1–3 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0B128184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3–10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5FFF5AD3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10 gouttes</w:t>
            </w:r>
          </w:p>
        </w:tc>
      </w:tr>
      <w:tr w:rsidR="001943C0" w:rsidRPr="001943C0" w14:paraId="7F5A0FED" w14:textId="77777777" w:rsidTr="00194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2796DBF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5–8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773EC3D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3–11 mois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253AAE50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2–5 gouttes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75" w:type="dxa"/>
              <w:bottom w:w="75" w:type="dxa"/>
              <w:right w:w="45" w:type="dxa"/>
            </w:tcMar>
            <w:hideMark/>
          </w:tcPr>
          <w:p w14:paraId="573DF7D8" w14:textId="77777777" w:rsidR="001943C0" w:rsidRPr="001943C0" w:rsidRDefault="001943C0" w:rsidP="001943C0">
            <w:pPr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1943C0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4× 5 gouttes</w:t>
            </w:r>
          </w:p>
        </w:tc>
      </w:tr>
    </w:tbl>
    <w:p w14:paraId="3D21FDF8" w14:textId="77777777" w:rsidR="001943C0" w:rsidRPr="001943C0" w:rsidRDefault="001943C0" w:rsidP="001943C0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 w:rsidR="00363B53">
        <w:rPr>
          <w:rFonts w:ascii="Times" w:eastAsia="Times New Roman" w:hAnsi="Times" w:cs="Times New Roman"/>
          <w:sz w:val="20"/>
          <w:szCs w:val="20"/>
        </w:rPr>
        <w:t xml:space="preserve">     </w:t>
      </w:r>
      <w:r>
        <w:rPr>
          <w:rFonts w:ascii="Times" w:eastAsia="Times New Roman" w:hAnsi="Times" w:cs="Times New Roman"/>
          <w:sz w:val="20"/>
          <w:szCs w:val="20"/>
        </w:rPr>
        <w:t>1</w:t>
      </w:r>
      <w:r w:rsidR="00363B53">
        <w:rPr>
          <w:rFonts w:ascii="Times" w:eastAsia="Times New Roman" w:hAnsi="Times" w:cs="Times New Roman"/>
          <w:sz w:val="20"/>
          <w:szCs w:val="20"/>
        </w:rPr>
        <w:t>ml= 20 gouttes = 500 mg</w:t>
      </w:r>
      <w:r w:rsidR="00363B53" w:rsidRPr="00363B53">
        <w:rPr>
          <w:rFonts w:ascii="Times" w:eastAsia="Times New Roman" w:hAnsi="Times" w:cs="Times New Roman"/>
          <w:sz w:val="20"/>
          <w:szCs w:val="20"/>
        </w:rPr>
        <w:sym w:font="Wingdings" w:char="F0E0"/>
      </w:r>
      <w:r w:rsidR="00363B53">
        <w:rPr>
          <w:rFonts w:ascii="Times" w:eastAsia="Times New Roman" w:hAnsi="Times" w:cs="Times New Roman"/>
          <w:sz w:val="20"/>
          <w:szCs w:val="20"/>
        </w:rPr>
        <w:t xml:space="preserve"> 25 mg/</w:t>
      </w:r>
      <w:proofErr w:type="spellStart"/>
      <w:r w:rsidR="00363B53">
        <w:rPr>
          <w:rFonts w:ascii="Times" w:eastAsia="Times New Roman" w:hAnsi="Times" w:cs="Times New Roman"/>
          <w:sz w:val="20"/>
          <w:szCs w:val="20"/>
        </w:rPr>
        <w:t>gtte</w:t>
      </w:r>
      <w:proofErr w:type="spellEnd"/>
    </w:p>
    <w:p w14:paraId="5C18EB22" w14:textId="77777777" w:rsidR="00363B53" w:rsidRDefault="00363B53" w:rsidP="00363B53">
      <w:p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14:paraId="4301619A" w14:textId="53B6A2E3" w:rsidR="00EF1AA8" w:rsidRPr="00363B53" w:rsidRDefault="00363B53" w:rsidP="00363B53">
      <w:pPr>
        <w:rPr>
          <w:rFonts w:ascii="Verdana" w:eastAsia="Times New Roman" w:hAnsi="Verdana" w:cs="Times New Roman"/>
          <w:b/>
          <w:color w:val="000000"/>
          <w:sz w:val="23"/>
          <w:szCs w:val="23"/>
          <w:shd w:val="clear" w:color="auto" w:fill="FFFFFF"/>
        </w:rPr>
      </w:pPr>
      <w:r w:rsidRPr="00363B53">
        <w:rPr>
          <w:rFonts w:ascii="Verdana" w:eastAsia="Times New Roman" w:hAnsi="Verdana" w:cs="Times New Roman"/>
          <w:b/>
          <w:color w:val="000000"/>
          <w:sz w:val="23"/>
          <w:szCs w:val="23"/>
          <w:shd w:val="clear" w:color="auto" w:fill="FFFFFF"/>
        </w:rPr>
        <w:t xml:space="preserve">EI: </w:t>
      </w:r>
    </w:p>
    <w:p w14:paraId="5859204E" w14:textId="231A79C3" w:rsidR="00DC5D7B" w:rsidRDefault="00DC5D7B" w:rsidP="00DC5D7B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 w:rsidRPr="00DC5D7B"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>Agranulocytose</w:t>
      </w:r>
      <w:r w:rsidRP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voir </w:t>
      </w:r>
      <w:proofErr w:type="spellStart"/>
      <w:r w:rsidRP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pancytopénie</w:t>
      </w:r>
      <w:proofErr w:type="spellEnd"/>
      <w:r w:rsidRP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immuno</w:t>
      </w:r>
      <w:proofErr w:type="spellEnd"/>
      <w:r w:rsidRP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-allergique=&gt; </w:t>
      </w:r>
      <w:r w:rsidRPr="00DC5D7B"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>y penser</w:t>
      </w:r>
      <w:r w:rsidRPr="00DC5D7B"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 xml:space="preserve"> et réaliser un labo</w:t>
      </w:r>
      <w:r w:rsidRPr="00DC5D7B"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 xml:space="preserve"> si fièvre</w:t>
      </w:r>
      <w:r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 xml:space="preserve"> </w:t>
      </w:r>
      <w:r w:rsidRPr="00DC5D7B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(idem si</w:t>
      </w:r>
      <w:r>
        <w:rPr>
          <w:rFonts w:ascii="Verdana" w:eastAsia="Times New Roman" w:hAnsi="Verdana" w:cs="Times New Roman"/>
          <w:b/>
          <w:color w:val="FF0000"/>
          <w:sz w:val="23"/>
          <w:szCs w:val="23"/>
          <w:shd w:val="clear" w:color="auto" w:fill="FFFFFF"/>
        </w:rPr>
        <w:t xml:space="preserve"> </w:t>
      </w:r>
      <w:r w:rsidRPr="00DC5D7B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gorge douloureuse, ulcérations de la cavité buccale, hématomes, saignements, pâleur</w:t>
      </w:r>
      <w:r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)</w:t>
      </w:r>
      <w:r w:rsidRPr="00DC5D7B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.</w:t>
      </w:r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Incidence : 1/5230 pour &lt;12 jours de 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ttt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et 1/810 si &gt; 12 jours de 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ttt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Létahéité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agranilocytose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de 5-7% mais aucun patient mort d’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agranocytose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sur </w:t>
      </w:r>
      <w:proofErr w:type="spellStart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métami</w:t>
      </w:r>
      <w:bookmarkStart w:id="0" w:name="_GoBack"/>
      <w:bookmarkEnd w:id="0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zole</w:t>
      </w:r>
      <w:proofErr w:type="spellEnd"/>
      <w:r w:rsidR="00954AD7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 xml:space="preserve"> sodique depuis 1973.</w:t>
      </w:r>
    </w:p>
    <w:p w14:paraId="270A1A27" w14:textId="77777777" w:rsidR="00EF1AA8" w:rsidRPr="00EF1AA8" w:rsidRDefault="00EF1AA8" w:rsidP="00EF1AA8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N</w:t>
      </w:r>
      <w:r w:rsidRPr="00EF1AA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ausées, vomis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sements, douleurs abdominales</w:t>
      </w:r>
    </w:p>
    <w:p w14:paraId="364DB5F7" w14:textId="77777777" w:rsidR="00EF1AA8" w:rsidRPr="00EF1AA8" w:rsidRDefault="00EF1AA8" w:rsidP="00EF1AA8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P</w:t>
      </w:r>
      <w:r w:rsidRPr="00EF1AA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lus rarement des symptômes nerveux centraux (vertige, somnole</w:t>
      </w: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nce, coma, convulsions) =&gt; </w:t>
      </w:r>
      <w:r w:rsidRPr="00EF1AA8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attention si conduite de véhicules</w:t>
      </w:r>
    </w:p>
    <w:p w14:paraId="5E4A8C83" w14:textId="77777777" w:rsidR="005E56EC" w:rsidRPr="001943C0" w:rsidRDefault="00EF1AA8" w:rsidP="005E56EC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C</w:t>
      </w:r>
      <w:r w:rsidRPr="00EF1AA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hute de la tension artérielle (</w:t>
      </w:r>
      <w:r w:rsidR="005E56E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ad choc)</w:t>
      </w:r>
      <w:r w:rsidR="001943C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 xml:space="preserve"> =&gt; </w:t>
      </w:r>
      <w:r w:rsidR="001943C0" w:rsidRPr="001943C0">
        <w:rPr>
          <w:rFonts w:ascii="Verdana" w:eastAsia="Times New Roman" w:hAnsi="Verdana" w:cs="Times New Roman"/>
          <w:sz w:val="23"/>
          <w:szCs w:val="23"/>
          <w:shd w:val="clear" w:color="auto" w:fill="FFFFFF"/>
        </w:rPr>
        <w:t>surtout en cas d’administration IV</w:t>
      </w:r>
      <w:r w:rsidR="001943C0" w:rsidRPr="001943C0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sym w:font="Wingdings" w:char="F0E0"/>
      </w:r>
      <w:r w:rsidR="001943C0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 xml:space="preserve"> donner en IVL (0,5 g/min=1ml/min).</w:t>
      </w:r>
    </w:p>
    <w:p w14:paraId="4E2127DB" w14:textId="77777777" w:rsidR="001943C0" w:rsidRPr="001943C0" w:rsidRDefault="001943C0" w:rsidP="001943C0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 w:rsidRPr="001943C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Stevens-Johnson ou syndrome de Lyell </w:t>
      </w:r>
    </w:p>
    <w:p w14:paraId="6902E395" w14:textId="77777777" w:rsidR="005E56EC" w:rsidRPr="005E56EC" w:rsidRDefault="00EF1AA8" w:rsidP="005E56EC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lastRenderedPageBreak/>
        <w:t>P</w:t>
      </w:r>
      <w:r w:rsidRPr="00EF1AA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eut provoquer une coloration rouge de l'urine</w:t>
      </w:r>
    </w:p>
    <w:p w14:paraId="2EE1C1F7" w14:textId="77777777" w:rsidR="005E56EC" w:rsidRDefault="00EF1AA8" w:rsidP="00EF1AA8">
      <w:pPr>
        <w:pStyle w:val="ListParagraph"/>
        <w:numPr>
          <w:ilvl w:val="1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 w:rsidRPr="00EF1AA8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CI avec</w:t>
      </w:r>
    </w:p>
    <w:p w14:paraId="25DAFDB8" w14:textId="77777777" w:rsidR="005E56EC" w:rsidRDefault="005E56EC" w:rsidP="005E56EC">
      <w:pPr>
        <w:pStyle w:val="ListParagraph"/>
        <w:numPr>
          <w:ilvl w:val="2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 w:rsidRPr="00EF1AA8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A</w:t>
      </w:r>
      <w:r w:rsidR="00EF1AA8" w:rsidRPr="00EF1AA8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llaitement</w:t>
      </w:r>
    </w:p>
    <w:p w14:paraId="5D443F47" w14:textId="77777777" w:rsidR="00EF1AA8" w:rsidRDefault="005E56EC" w:rsidP="005E56EC">
      <w:pPr>
        <w:pStyle w:val="ListParagraph"/>
        <w:numPr>
          <w:ilvl w:val="2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A</w:t>
      </w:r>
      <w:r w:rsidR="00EF1AA8"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spirine</w:t>
      </w:r>
      <w: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 xml:space="preserve"> car bloque son effet anti agrégeant plaquettaire</w:t>
      </w:r>
    </w:p>
    <w:p w14:paraId="1E3C72EB" w14:textId="77777777" w:rsidR="005E56EC" w:rsidRPr="00EF1AA8" w:rsidRDefault="005E56EC" w:rsidP="005E56EC">
      <w:pPr>
        <w:pStyle w:val="ListParagraph"/>
        <w:numPr>
          <w:ilvl w:val="2"/>
          <w:numId w:val="1"/>
        </w:numP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</w:pPr>
      <w:r>
        <w:rPr>
          <w:rFonts w:ascii="Verdana" w:eastAsia="Times New Roman" w:hAnsi="Verdana" w:cs="Times New Roman"/>
          <w:color w:val="FF0000"/>
          <w:sz w:val="23"/>
          <w:szCs w:val="23"/>
          <w:shd w:val="clear" w:color="auto" w:fill="FFFFFF"/>
        </w:rPr>
        <w:t>Insuffisance rénale ou hépatique graves</w:t>
      </w:r>
    </w:p>
    <w:sectPr w:rsidR="005E56EC" w:rsidRPr="00EF1AA8" w:rsidSect="00B57EE2">
      <w:pgSz w:w="11900" w:h="16840"/>
      <w:pgMar w:top="709" w:right="985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404A"/>
    <w:multiLevelType w:val="hybridMultilevel"/>
    <w:tmpl w:val="BD22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2"/>
    <w:rsid w:val="0018505F"/>
    <w:rsid w:val="001943C0"/>
    <w:rsid w:val="00363B53"/>
    <w:rsid w:val="0052406D"/>
    <w:rsid w:val="005E56EC"/>
    <w:rsid w:val="00954AD7"/>
    <w:rsid w:val="00B57EE2"/>
    <w:rsid w:val="00CC1744"/>
    <w:rsid w:val="00DC5D7B"/>
    <w:rsid w:val="00E35B2A"/>
    <w:rsid w:val="00E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01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E2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EF1A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943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E2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EF1A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9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244</Words>
  <Characters>1391</Characters>
  <Application>Microsoft Macintosh Word</Application>
  <DocSecurity>0</DocSecurity>
  <Lines>11</Lines>
  <Paragraphs>3</Paragraphs>
  <ScaleCrop>false</ScaleCrop>
  <Company>-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7</cp:revision>
  <dcterms:created xsi:type="dcterms:W3CDTF">2016-09-27T08:32:00Z</dcterms:created>
  <dcterms:modified xsi:type="dcterms:W3CDTF">2016-09-27T09:42:00Z</dcterms:modified>
</cp:coreProperties>
</file>