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1F" w:rsidRPr="002442CD" w:rsidRDefault="008F6381" w:rsidP="008F6381">
      <w:pPr>
        <w:jc w:val="center"/>
        <w:rPr>
          <w:b/>
        </w:rPr>
      </w:pPr>
      <w:r w:rsidRPr="002442CD">
        <w:rPr>
          <w:b/>
        </w:rPr>
        <w:t>OESOPHAGITE A EOSINOPHILES</w:t>
      </w:r>
    </w:p>
    <w:p w:rsidR="008F6381" w:rsidRDefault="008F6381" w:rsidP="008F6381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Touche à </w:t>
      </w:r>
      <w:r w:rsidRPr="008F6381">
        <w:rPr>
          <w:lang w:val="fr-FR"/>
        </w:rPr>
        <w:t>80% des garçon</w:t>
      </w:r>
      <w:r>
        <w:rPr>
          <w:lang w:val="fr-FR"/>
        </w:rPr>
        <w:t>s</w:t>
      </w:r>
    </w:p>
    <w:p w:rsidR="008F6381" w:rsidRDefault="008F6381" w:rsidP="008F6381">
      <w:pPr>
        <w:pStyle w:val="Paragraphedeliste"/>
        <w:numPr>
          <w:ilvl w:val="0"/>
          <w:numId w:val="1"/>
        </w:numPr>
        <w:rPr>
          <w:lang w:val="fr-FR"/>
        </w:rPr>
      </w:pPr>
      <w:r w:rsidRPr="008F6381">
        <w:rPr>
          <w:lang w:val="fr-FR"/>
        </w:rPr>
        <w:t xml:space="preserve">80% </w:t>
      </w:r>
      <w:r>
        <w:rPr>
          <w:lang w:val="fr-FR"/>
        </w:rPr>
        <w:t xml:space="preserve">sont </w:t>
      </w:r>
      <w:proofErr w:type="spellStart"/>
      <w:r>
        <w:rPr>
          <w:lang w:val="fr-FR"/>
        </w:rPr>
        <w:t>atopiques</w:t>
      </w:r>
      <w:proofErr w:type="spellEnd"/>
      <w:r>
        <w:rPr>
          <w:lang w:val="fr-FR"/>
        </w:rPr>
        <w:t xml:space="preserve"> et 40% d’AF allergique</w:t>
      </w:r>
    </w:p>
    <w:p w:rsidR="008F6381" w:rsidRDefault="008F6381" w:rsidP="008F6381">
      <w:pPr>
        <w:ind w:left="360"/>
        <w:rPr>
          <w:lang w:val="fr-FR"/>
        </w:rPr>
      </w:pPr>
      <w:r w:rsidRPr="008F6381">
        <w:rPr>
          <w:u w:val="single"/>
          <w:lang w:val="fr-FR"/>
        </w:rPr>
        <w:t>Symptômes</w:t>
      </w:r>
      <w:r>
        <w:rPr>
          <w:lang w:val="fr-FR"/>
        </w:rPr>
        <w:t> :</w:t>
      </w:r>
    </w:p>
    <w:p w:rsidR="008F6381" w:rsidRDefault="008F6381" w:rsidP="008F6381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I</w:t>
      </w:r>
      <w:r w:rsidRPr="008F6381">
        <w:rPr>
          <w:lang w:val="fr-FR"/>
        </w:rPr>
        <w:t xml:space="preserve">dem </w:t>
      </w:r>
      <w:r>
        <w:rPr>
          <w:lang w:val="fr-FR"/>
        </w:rPr>
        <w:t>RGO (brûlures, régurgitations)</w:t>
      </w:r>
    </w:p>
    <w:p w:rsidR="008F6381" w:rsidRDefault="008F6381" w:rsidP="008F6381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Dysphagie aux solides </w:t>
      </w:r>
    </w:p>
    <w:p w:rsidR="008F6381" w:rsidRDefault="008F6381" w:rsidP="008F6381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Possible retard de croissance</w:t>
      </w:r>
    </w:p>
    <w:p w:rsidR="008F6381" w:rsidRDefault="008F6381" w:rsidP="008F6381">
      <w:pPr>
        <w:ind w:left="426"/>
        <w:rPr>
          <w:u w:val="single"/>
        </w:rPr>
      </w:pPr>
      <w:r>
        <w:rPr>
          <w:u w:val="single"/>
        </w:rPr>
        <w:t>Mécanismes :</w:t>
      </w:r>
    </w:p>
    <w:p w:rsidR="008F6381" w:rsidRPr="008F6381" w:rsidRDefault="008F6381" w:rsidP="008F6381">
      <w:pPr>
        <w:pStyle w:val="Paragraphedeliste"/>
        <w:numPr>
          <w:ilvl w:val="0"/>
          <w:numId w:val="4"/>
        </w:numPr>
      </w:pPr>
      <w:r w:rsidRPr="008F6381">
        <w:t>Manifestation allergique</w:t>
      </w:r>
    </w:p>
    <w:p w:rsidR="008F6381" w:rsidRDefault="008F6381" w:rsidP="008F6381">
      <w:pPr>
        <w:pStyle w:val="Paragraphedeliste"/>
        <w:numPr>
          <w:ilvl w:val="0"/>
          <w:numId w:val="4"/>
        </w:numPr>
      </w:pPr>
      <w:r w:rsidRPr="008F6381">
        <w:t>Anomalie de l’</w:t>
      </w:r>
      <w:proofErr w:type="spellStart"/>
      <w:r w:rsidRPr="008F6381">
        <w:t>éotaxine</w:t>
      </w:r>
      <w:proofErr w:type="spellEnd"/>
      <w:r>
        <w:t xml:space="preserve"> 3 = cytokines de régulation des éosinophiles et mastocytes</w:t>
      </w:r>
    </w:p>
    <w:p w:rsidR="008F6381" w:rsidRPr="008F6381" w:rsidRDefault="008F6381" w:rsidP="008F6381">
      <w:pPr>
        <w:pStyle w:val="Paragraphedeliste"/>
        <w:numPr>
          <w:ilvl w:val="0"/>
          <w:numId w:val="4"/>
        </w:numPr>
      </w:pPr>
      <w:r>
        <w:t>Rôle de l’IL5 et 13</w:t>
      </w:r>
    </w:p>
    <w:p w:rsidR="008F6381" w:rsidRDefault="008F6381" w:rsidP="008F6381">
      <w:pPr>
        <w:ind w:left="426"/>
      </w:pPr>
      <w:r w:rsidRPr="008F6381">
        <w:rPr>
          <w:u w:val="single"/>
        </w:rPr>
        <w:t>Labo</w:t>
      </w:r>
      <w:r>
        <w:t> :</w:t>
      </w:r>
    </w:p>
    <w:p w:rsidR="008F6381" w:rsidRDefault="008F6381" w:rsidP="008F6381">
      <w:pPr>
        <w:pStyle w:val="Paragraphedeliste"/>
        <w:numPr>
          <w:ilvl w:val="0"/>
          <w:numId w:val="3"/>
        </w:numPr>
      </w:pPr>
      <w:r>
        <w:t>FSC=&gt; éosinophile ?</w:t>
      </w:r>
    </w:p>
    <w:p w:rsidR="008F6381" w:rsidRDefault="008F6381" w:rsidP="008F6381">
      <w:pPr>
        <w:pStyle w:val="Paragraphedeliste"/>
        <w:numPr>
          <w:ilvl w:val="0"/>
          <w:numId w:val="3"/>
        </w:numPr>
      </w:pPr>
      <w:proofErr w:type="spellStart"/>
      <w:r>
        <w:t>pH-métrie</w:t>
      </w:r>
      <w:proofErr w:type="spellEnd"/>
      <w:r>
        <w:t xml:space="preserve"> pour exclure un RGO acide</w:t>
      </w:r>
    </w:p>
    <w:p w:rsidR="008F6381" w:rsidRDefault="008F6381" w:rsidP="008F6381">
      <w:pPr>
        <w:pStyle w:val="Paragraphedeliste"/>
        <w:numPr>
          <w:ilvl w:val="0"/>
          <w:numId w:val="3"/>
        </w:numPr>
      </w:pPr>
      <w:r>
        <w:t>Endoscopie =&lt; signes suggestifs :</w:t>
      </w:r>
    </w:p>
    <w:p w:rsidR="008F6381" w:rsidRDefault="008F6381" w:rsidP="008F6381">
      <w:pPr>
        <w:pStyle w:val="Paragraphedeliste"/>
        <w:numPr>
          <w:ilvl w:val="1"/>
          <w:numId w:val="3"/>
        </w:numPr>
      </w:pPr>
      <w:r>
        <w:t xml:space="preserve">Sténose ou </w:t>
      </w:r>
      <w:proofErr w:type="spellStart"/>
      <w:r>
        <w:t>trachéalisation</w:t>
      </w:r>
      <w:proofErr w:type="spellEnd"/>
      <w:r>
        <w:t xml:space="preserve"> de l’œsophage (anneaux circulaire faisant ressembler l’œsophage à une trachée)</w:t>
      </w:r>
    </w:p>
    <w:p w:rsidR="008F6381" w:rsidRDefault="008F6381" w:rsidP="008F6381">
      <w:pPr>
        <w:pStyle w:val="Paragraphedeliste"/>
        <w:numPr>
          <w:ilvl w:val="1"/>
          <w:numId w:val="3"/>
        </w:numPr>
      </w:pPr>
      <w:r>
        <w:t>Sillons longitudinaux</w:t>
      </w:r>
    </w:p>
    <w:p w:rsidR="008F6381" w:rsidRDefault="008F6381" w:rsidP="008F6381">
      <w:pPr>
        <w:pStyle w:val="Paragraphedeliste"/>
        <w:numPr>
          <w:ilvl w:val="1"/>
          <w:numId w:val="3"/>
        </w:numPr>
      </w:pPr>
      <w:r>
        <w:t>Taches blanches surélevées en reliefs</w:t>
      </w:r>
    </w:p>
    <w:p w:rsidR="008F6381" w:rsidRDefault="008F6381" w:rsidP="008F6381">
      <w:pPr>
        <w:pStyle w:val="Paragraphedeliste"/>
        <w:numPr>
          <w:ilvl w:val="1"/>
          <w:numId w:val="3"/>
        </w:numPr>
      </w:pPr>
      <w:r>
        <w:t xml:space="preserve">Muqueuse friable </w:t>
      </w:r>
    </w:p>
    <w:p w:rsidR="008F6381" w:rsidRDefault="008F6381" w:rsidP="008F6381">
      <w:pPr>
        <w:pStyle w:val="Paragraphedeliste"/>
        <w:numPr>
          <w:ilvl w:val="1"/>
          <w:numId w:val="3"/>
        </w:numPr>
      </w:pPr>
      <w:r>
        <w:t>Intervalles de muqueuse saine</w:t>
      </w:r>
    </w:p>
    <w:p w:rsidR="008F6381" w:rsidRDefault="008F6381" w:rsidP="008F6381">
      <w:pPr>
        <w:pStyle w:val="Paragraphedeliste"/>
        <w:numPr>
          <w:ilvl w:val="1"/>
          <w:numId w:val="3"/>
        </w:numPr>
      </w:pPr>
      <w:r>
        <w:t>Absence d’anomalies gastriques et duodénales</w:t>
      </w:r>
    </w:p>
    <w:p w:rsidR="008F6381" w:rsidRDefault="008F6381" w:rsidP="008F6381">
      <w:pPr>
        <w:ind w:left="708"/>
      </w:pPr>
      <w:r w:rsidRPr="008F6381">
        <w:rPr>
          <w:u w:val="single"/>
        </w:rPr>
        <w:t>Traitements</w:t>
      </w:r>
      <w:r>
        <w:t> :</w:t>
      </w:r>
    </w:p>
    <w:p w:rsidR="008F6381" w:rsidRDefault="008F6381" w:rsidP="008F6381">
      <w:pPr>
        <w:pStyle w:val="Paragraphedeliste"/>
        <w:numPr>
          <w:ilvl w:val="0"/>
          <w:numId w:val="5"/>
        </w:numPr>
        <w:ind w:left="1134" w:hanging="283"/>
      </w:pPr>
      <w:r>
        <w:t>Diététiques :</w:t>
      </w:r>
    </w:p>
    <w:p w:rsidR="008F6381" w:rsidRDefault="008F6381" w:rsidP="008F6381">
      <w:pPr>
        <w:pStyle w:val="Paragraphedeliste"/>
        <w:numPr>
          <w:ilvl w:val="1"/>
          <w:numId w:val="5"/>
        </w:numPr>
      </w:pPr>
      <w:r>
        <w:t xml:space="preserve">Régime riche en </w:t>
      </w:r>
      <w:proofErr w:type="spellStart"/>
      <w:r>
        <w:t>aa</w:t>
      </w:r>
      <w:proofErr w:type="spellEnd"/>
    </w:p>
    <w:p w:rsidR="008F6381" w:rsidRDefault="008F6381" w:rsidP="008F6381">
      <w:pPr>
        <w:pStyle w:val="Paragraphedeliste"/>
        <w:numPr>
          <w:ilvl w:val="1"/>
          <w:numId w:val="5"/>
        </w:numPr>
      </w:pPr>
      <w:r>
        <w:t>Éviction de l’allergène (si identifié)</w:t>
      </w:r>
    </w:p>
    <w:p w:rsidR="008F6381" w:rsidRDefault="008F6381" w:rsidP="008F6381">
      <w:pPr>
        <w:pStyle w:val="Paragraphedeliste"/>
        <w:numPr>
          <w:ilvl w:val="0"/>
          <w:numId w:val="5"/>
        </w:numPr>
        <w:ind w:left="1134" w:hanging="283"/>
      </w:pPr>
      <w:r>
        <w:t xml:space="preserve">Corticoïdes locaux : </w:t>
      </w:r>
      <w:proofErr w:type="spellStart"/>
      <w:r>
        <w:t>fluticasone</w:t>
      </w:r>
      <w:proofErr w:type="spellEnd"/>
      <w:r w:rsidR="002442CD">
        <w:t xml:space="preserve"> (</w:t>
      </w:r>
      <w:proofErr w:type="spellStart"/>
      <w:r w:rsidR="002442CD">
        <w:t>Axotide</w:t>
      </w:r>
      <w:proofErr w:type="spellEnd"/>
      <w:r w:rsidR="002442CD">
        <w:t>® avalé)</w:t>
      </w:r>
    </w:p>
    <w:p w:rsidR="002442CD" w:rsidRDefault="002442CD" w:rsidP="008F6381">
      <w:pPr>
        <w:pStyle w:val="Paragraphedeliste"/>
        <w:numPr>
          <w:ilvl w:val="0"/>
          <w:numId w:val="5"/>
        </w:numPr>
        <w:ind w:left="1134" w:hanging="283"/>
      </w:pPr>
      <w:r>
        <w:t>Dilatation des sténoses par moyens mécaniques</w:t>
      </w:r>
    </w:p>
    <w:p w:rsidR="008F6381" w:rsidRDefault="008F6381" w:rsidP="008F6381">
      <w:pPr>
        <w:pStyle w:val="Paragraphedeliste"/>
        <w:ind w:left="2148"/>
      </w:pPr>
    </w:p>
    <w:sectPr w:rsidR="008F6381" w:rsidSect="00C21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D7A"/>
    <w:multiLevelType w:val="hybridMultilevel"/>
    <w:tmpl w:val="54D832F4"/>
    <w:lvl w:ilvl="0" w:tplc="10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5B05A4"/>
    <w:multiLevelType w:val="hybridMultilevel"/>
    <w:tmpl w:val="14987F18"/>
    <w:lvl w:ilvl="0" w:tplc="10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6334B97"/>
    <w:multiLevelType w:val="hybridMultilevel"/>
    <w:tmpl w:val="44B414AE"/>
    <w:lvl w:ilvl="0" w:tplc="10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E013960"/>
    <w:multiLevelType w:val="hybridMultilevel"/>
    <w:tmpl w:val="E03034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A5782"/>
    <w:multiLevelType w:val="hybridMultilevel"/>
    <w:tmpl w:val="9B6C29C0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381"/>
    <w:rsid w:val="000358AE"/>
    <w:rsid w:val="000D3D0E"/>
    <w:rsid w:val="002442CD"/>
    <w:rsid w:val="003D7616"/>
    <w:rsid w:val="006A11A5"/>
    <w:rsid w:val="00751919"/>
    <w:rsid w:val="008F6381"/>
    <w:rsid w:val="00C2171F"/>
    <w:rsid w:val="00DB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7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6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chefcli</dc:creator>
  <cp:keywords/>
  <dc:description/>
  <cp:lastModifiedBy>chefcli</cp:lastModifiedBy>
  <cp:revision>1</cp:revision>
  <dcterms:created xsi:type="dcterms:W3CDTF">2010-08-11T11:17:00Z</dcterms:created>
  <dcterms:modified xsi:type="dcterms:W3CDTF">2010-08-11T11:29:00Z</dcterms:modified>
</cp:coreProperties>
</file>