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F2" w:rsidRPr="001045F2" w:rsidRDefault="001045F2" w:rsidP="001045F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val="fr-CH"/>
        </w:rPr>
      </w:pPr>
      <w:r w:rsidRPr="001045F2">
        <w:rPr>
          <w:rFonts w:ascii="Times-Roman" w:hAnsi="Times-Roman" w:cs="Times-Roman"/>
          <w:b/>
          <w:sz w:val="24"/>
          <w:szCs w:val="24"/>
          <w:lang w:val="fr-CH"/>
        </w:rPr>
        <w:t>MEDICAMENTS</w:t>
      </w:r>
      <w:r>
        <w:rPr>
          <w:rFonts w:ascii="Times-Roman" w:hAnsi="Times-Roman" w:cs="Times-Roman"/>
          <w:b/>
          <w:sz w:val="24"/>
          <w:szCs w:val="24"/>
          <w:lang w:val="fr-CH"/>
        </w:rPr>
        <w:t xml:space="preserve"> ET MOYENS</w:t>
      </w:r>
      <w:r w:rsidRPr="001045F2">
        <w:rPr>
          <w:rFonts w:ascii="Times-Roman" w:hAnsi="Times-Roman" w:cs="Times-Roman"/>
          <w:b/>
          <w:sz w:val="24"/>
          <w:szCs w:val="24"/>
          <w:lang w:val="fr-CH"/>
        </w:rPr>
        <w:t xml:space="preserve"> HEMOSTATIQUES</w:t>
      </w:r>
      <w:r w:rsidR="006C5DE9">
        <w:rPr>
          <w:rFonts w:ascii="Times-Roman" w:hAnsi="Times-Roman" w:cs="Times-Roman"/>
          <w:b/>
          <w:sz w:val="24"/>
          <w:szCs w:val="24"/>
          <w:lang w:val="fr-CH"/>
        </w:rPr>
        <w:t xml:space="preserve"> (CHUV)</w:t>
      </w:r>
    </w:p>
    <w:p w:rsidR="001045F2" w:rsidRDefault="001045F2" w:rsidP="001045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CH"/>
        </w:rPr>
      </w:pPr>
    </w:p>
    <w:p w:rsidR="001045F2" w:rsidRPr="001045F2" w:rsidRDefault="001045F2" w:rsidP="001045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CH"/>
        </w:rPr>
      </w:pPr>
      <w:r w:rsidRPr="001045F2">
        <w:rPr>
          <w:rFonts w:ascii="Times-Roman" w:hAnsi="Times-Roman" w:cs="Times-Roman"/>
          <w:sz w:val="24"/>
          <w:szCs w:val="24"/>
          <w:lang w:val="fr-CH"/>
        </w:rPr>
        <w:t>La vitamine K</w:t>
      </w:r>
    </w:p>
    <w:p w:rsidR="001045F2" w:rsidRDefault="001045F2" w:rsidP="001045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CH"/>
        </w:rPr>
      </w:pPr>
      <w:r w:rsidRPr="001045F2">
        <w:rPr>
          <w:rFonts w:ascii="Times-Roman" w:hAnsi="Times-Roman" w:cs="Times-Roman"/>
          <w:sz w:val="24"/>
          <w:szCs w:val="24"/>
          <w:lang w:val="fr-CH"/>
        </w:rPr>
        <w:t>Le plasma frais congelé (PFC)</w:t>
      </w:r>
      <w:r>
        <w:rPr>
          <w:rFonts w:ascii="Times-Roman" w:hAnsi="Times-Roman" w:cs="Times-Roman"/>
          <w:sz w:val="24"/>
          <w:szCs w:val="24"/>
          <w:lang w:val="fr-CH"/>
        </w:rPr>
        <w:t> :</w:t>
      </w:r>
    </w:p>
    <w:p w:rsidR="001045F2" w:rsidRPr="001045F2" w:rsidRDefault="001045F2" w:rsidP="001045F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CH"/>
        </w:rPr>
      </w:pPr>
      <w:r>
        <w:rPr>
          <w:rFonts w:ascii="Times-Roman" w:hAnsi="Times-Roman" w:cs="Times-Roman"/>
          <w:sz w:val="24"/>
          <w:szCs w:val="24"/>
          <w:lang w:val="fr-CH"/>
        </w:rPr>
        <w:t>PFC min 10-15 ml par kg (4-6 U pour un patient de 70 kg)</w:t>
      </w:r>
    </w:p>
    <w:p w:rsidR="001045F2" w:rsidRPr="001045F2" w:rsidRDefault="001045F2" w:rsidP="001045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CH"/>
        </w:rPr>
      </w:pPr>
      <w:r w:rsidRPr="001045F2">
        <w:rPr>
          <w:rFonts w:ascii="Times-Roman" w:hAnsi="Times-Roman" w:cs="Times-Roman"/>
          <w:sz w:val="24"/>
          <w:szCs w:val="24"/>
          <w:lang w:val="fr-CH"/>
        </w:rPr>
        <w:t xml:space="preserve">Le </w:t>
      </w:r>
      <w:r w:rsidRPr="001045F2">
        <w:rPr>
          <w:rFonts w:ascii="Times-Roman" w:hAnsi="Times-Roman" w:cs="Times-Roman"/>
          <w:b/>
          <w:sz w:val="24"/>
          <w:szCs w:val="24"/>
          <w:lang w:val="fr-CH"/>
        </w:rPr>
        <w:t>Prothromplex</w:t>
      </w:r>
      <w:r w:rsidRPr="001045F2">
        <w:rPr>
          <w:rFonts w:ascii="Times-Roman" w:hAnsi="Times-Roman" w:cs="Times-Roman"/>
          <w:sz w:val="16"/>
          <w:szCs w:val="16"/>
          <w:lang w:val="fr-CH"/>
        </w:rPr>
        <w:t xml:space="preserve">® </w:t>
      </w:r>
      <w:r w:rsidRPr="001045F2">
        <w:rPr>
          <w:rFonts w:ascii="Times-Roman" w:hAnsi="Times-Roman" w:cs="Times-Roman"/>
          <w:sz w:val="24"/>
          <w:szCs w:val="24"/>
          <w:lang w:val="fr-CH"/>
        </w:rPr>
        <w:t xml:space="preserve"> = mélange de facteurs II, VII, IX, X, Protéine C, Antithrombine</w:t>
      </w:r>
    </w:p>
    <w:p w:rsidR="001045F2" w:rsidRPr="001045F2" w:rsidRDefault="006C5DE9" w:rsidP="001045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CH"/>
        </w:rPr>
      </w:pPr>
      <w:r w:rsidRPr="006C5DE9">
        <w:rPr>
          <w:rFonts w:ascii="Times-Roman" w:hAnsi="Times-Roman" w:cs="Times-Roman"/>
          <w:sz w:val="24"/>
          <w:szCs w:val="24"/>
          <w:lang w:val="fr-CH"/>
        </w:rPr>
        <w:t>L’</w:t>
      </w:r>
      <w:r w:rsidRPr="001045F2">
        <w:rPr>
          <w:rFonts w:ascii="Times-Roman" w:hAnsi="Times-Roman" w:cs="Times-Roman"/>
          <w:b/>
          <w:sz w:val="24"/>
          <w:szCs w:val="24"/>
          <w:lang w:val="fr-CH"/>
        </w:rPr>
        <w:t>Haemocomplettan</w:t>
      </w:r>
      <w:r w:rsidRPr="001045F2">
        <w:rPr>
          <w:rFonts w:ascii="Times-Roman" w:hAnsi="Times-Roman" w:cs="Times-Roman"/>
          <w:sz w:val="16"/>
          <w:szCs w:val="16"/>
          <w:lang w:val="fr-CH"/>
        </w:rPr>
        <w:t>®</w:t>
      </w:r>
      <w:r>
        <w:rPr>
          <w:rFonts w:ascii="Times-Roman" w:hAnsi="Times-Roman" w:cs="Times-Roman"/>
          <w:sz w:val="24"/>
          <w:szCs w:val="24"/>
          <w:lang w:val="fr-CH"/>
        </w:rPr>
        <w:t xml:space="preserve"> = fibrinogène</w:t>
      </w:r>
    </w:p>
    <w:p w:rsidR="001045F2" w:rsidRPr="001045F2" w:rsidRDefault="001045F2" w:rsidP="001045F2">
      <w:pPr>
        <w:pStyle w:val="Paragraphedeliste"/>
        <w:numPr>
          <w:ilvl w:val="0"/>
          <w:numId w:val="1"/>
        </w:numPr>
      </w:pPr>
      <w:r>
        <w:rPr>
          <w:rFonts w:ascii="Times-Roman" w:hAnsi="Times-Roman" w:cs="Times-Roman"/>
          <w:sz w:val="24"/>
          <w:szCs w:val="24"/>
          <w:lang w:val="fr-CH"/>
        </w:rPr>
        <w:t>La transfusion de plaquettes</w:t>
      </w:r>
    </w:p>
    <w:p w:rsidR="001045F2" w:rsidRPr="001045F2" w:rsidRDefault="001045F2" w:rsidP="001045F2">
      <w:pPr>
        <w:pStyle w:val="Paragraphedeliste"/>
        <w:numPr>
          <w:ilvl w:val="1"/>
          <w:numId w:val="1"/>
        </w:numPr>
      </w:pPr>
      <w:r>
        <w:rPr>
          <w:rFonts w:ascii="Times-Roman" w:hAnsi="Times-Roman" w:cs="Times-Roman"/>
          <w:sz w:val="24"/>
          <w:szCs w:val="24"/>
          <w:lang w:val="fr-CH"/>
        </w:rPr>
        <w:t>Plaquettes 1-2 U par 10 kg (10-15 U pour un patient de 70 kg)</w:t>
      </w:r>
    </w:p>
    <w:p w:rsidR="00C2171F" w:rsidRPr="001045F2" w:rsidRDefault="001045F2" w:rsidP="001045F2">
      <w:pPr>
        <w:pStyle w:val="Paragraphedeliste"/>
        <w:numPr>
          <w:ilvl w:val="0"/>
          <w:numId w:val="1"/>
        </w:numPr>
      </w:pPr>
      <w:r>
        <w:rPr>
          <w:rFonts w:ascii="Times-Roman" w:hAnsi="Times-Roman" w:cs="Times-Roman"/>
          <w:sz w:val="24"/>
          <w:szCs w:val="24"/>
          <w:lang w:val="fr-CH"/>
        </w:rPr>
        <w:t>L</w:t>
      </w:r>
      <w:r w:rsidRPr="001045F2">
        <w:rPr>
          <w:rFonts w:ascii="Times-Roman" w:hAnsi="Times-Roman" w:cs="Times-Roman"/>
          <w:sz w:val="24"/>
          <w:szCs w:val="24"/>
          <w:lang w:val="fr-CH"/>
        </w:rPr>
        <w:t>’administration de calcium.</w:t>
      </w:r>
    </w:p>
    <w:p w:rsidR="001045F2" w:rsidRPr="001045F2" w:rsidRDefault="001045F2" w:rsidP="001045F2">
      <w:pPr>
        <w:pStyle w:val="Paragraphedeliste"/>
        <w:numPr>
          <w:ilvl w:val="0"/>
          <w:numId w:val="1"/>
        </w:numPr>
      </w:pPr>
      <w:r>
        <w:rPr>
          <w:rFonts w:ascii="Times-Roman" w:hAnsi="Times-Roman" w:cs="Times-Roman"/>
          <w:sz w:val="24"/>
          <w:szCs w:val="24"/>
          <w:lang w:val="fr-CH"/>
        </w:rPr>
        <w:t xml:space="preserve">Correction de l’acidose (pH </w:t>
      </w:r>
      <w:r>
        <w:rPr>
          <w:rFonts w:ascii="Symbol" w:hAnsi="Symbol" w:cs="Symbol"/>
          <w:sz w:val="24"/>
          <w:szCs w:val="24"/>
          <w:lang w:val="fr-CH"/>
        </w:rPr>
        <w:t></w:t>
      </w:r>
      <w:r>
        <w:rPr>
          <w:rFonts w:ascii="Symbol" w:hAnsi="Symbol" w:cs="Symbol"/>
          <w:sz w:val="24"/>
          <w:szCs w:val="24"/>
          <w:lang w:val="fr-CH"/>
        </w:rPr>
        <w:t></w:t>
      </w:r>
      <w:r>
        <w:rPr>
          <w:rFonts w:ascii="Times-Roman" w:hAnsi="Times-Roman" w:cs="Times-Roman"/>
          <w:sz w:val="24"/>
          <w:szCs w:val="24"/>
          <w:lang w:val="fr-CH"/>
        </w:rPr>
        <w:t>7,2)</w:t>
      </w:r>
    </w:p>
    <w:p w:rsidR="001045F2" w:rsidRPr="001045F2" w:rsidRDefault="001045F2" w:rsidP="001045F2">
      <w:pPr>
        <w:pStyle w:val="Paragraphedeliste"/>
        <w:numPr>
          <w:ilvl w:val="0"/>
          <w:numId w:val="1"/>
        </w:numPr>
      </w:pPr>
      <w:r>
        <w:rPr>
          <w:rFonts w:ascii="Times-Roman" w:hAnsi="Times-Roman" w:cs="Times-Roman"/>
          <w:sz w:val="24"/>
          <w:szCs w:val="24"/>
          <w:lang w:val="fr-CH"/>
        </w:rPr>
        <w:t>Réchauffement des patients hypothermes (recommandé)</w:t>
      </w:r>
    </w:p>
    <w:p w:rsidR="001045F2" w:rsidRPr="001045F2" w:rsidRDefault="001045F2" w:rsidP="001045F2">
      <w:pPr>
        <w:pStyle w:val="Paragraphedeliste"/>
        <w:numPr>
          <w:ilvl w:val="0"/>
          <w:numId w:val="1"/>
        </w:numPr>
      </w:pPr>
      <w:r>
        <w:rPr>
          <w:rFonts w:ascii="Times-Roman" w:hAnsi="Times-Roman" w:cs="Times-Roman"/>
          <w:sz w:val="24"/>
          <w:szCs w:val="24"/>
          <w:lang w:val="fr-CH"/>
        </w:rPr>
        <w:t xml:space="preserve">Le </w:t>
      </w:r>
      <w:r w:rsidRPr="006C5DE9">
        <w:rPr>
          <w:rFonts w:ascii="Times-Roman" w:hAnsi="Times-Roman" w:cs="Times-Roman"/>
          <w:b/>
          <w:sz w:val="24"/>
          <w:szCs w:val="24"/>
          <w:lang w:val="fr-CH"/>
        </w:rPr>
        <w:t>Novoseven</w:t>
      </w:r>
      <w:r>
        <w:rPr>
          <w:rFonts w:ascii="Times-Roman" w:hAnsi="Times-Roman" w:cs="Times-Roman"/>
          <w:sz w:val="24"/>
          <w:szCs w:val="24"/>
          <w:lang w:val="fr-CH"/>
        </w:rPr>
        <w:t xml:space="preserve">® = facteur VII activé recombinant (rF.VIIa) </w:t>
      </w:r>
      <w:r w:rsidR="00B9312F">
        <w:rPr>
          <w:rFonts w:ascii="Times-Roman" w:hAnsi="Times-Roman" w:cs="Times-Roman"/>
          <w:sz w:val="24"/>
          <w:szCs w:val="24"/>
          <w:lang w:val="fr-CH"/>
        </w:rPr>
        <w:t xml:space="preserve">90 </w:t>
      </w:r>
      <w:r w:rsidR="00B9312F">
        <w:rPr>
          <w:rFonts w:ascii="Symbol" w:hAnsi="Symbol" w:cs="Symbol"/>
          <w:sz w:val="24"/>
          <w:szCs w:val="24"/>
          <w:lang w:val="fr-CH"/>
        </w:rPr>
        <w:t></w:t>
      </w:r>
      <w:r w:rsidR="00B9312F">
        <w:rPr>
          <w:rFonts w:ascii="Times-Roman" w:hAnsi="Times-Roman" w:cs="Times-Roman"/>
          <w:sz w:val="24"/>
          <w:szCs w:val="24"/>
          <w:lang w:val="fr-CH"/>
        </w:rPr>
        <w:t>g / kg en bolus i.v. sur 2-5 minutes par VVP ou VVC</w:t>
      </w:r>
      <w:r>
        <w:rPr>
          <w:rFonts w:ascii="Times-Roman" w:hAnsi="Times-Roman" w:cs="Times-Roman"/>
          <w:sz w:val="24"/>
          <w:szCs w:val="24"/>
          <w:lang w:val="fr-CH"/>
        </w:rPr>
        <w:t>=&gt; indication reconnues :</w:t>
      </w:r>
    </w:p>
    <w:p w:rsidR="001045F2" w:rsidRPr="001045F2" w:rsidRDefault="001045F2" w:rsidP="001045F2">
      <w:pPr>
        <w:pStyle w:val="Paragraphedeliste"/>
        <w:numPr>
          <w:ilvl w:val="1"/>
          <w:numId w:val="1"/>
        </w:numPr>
      </w:pPr>
      <w:r>
        <w:rPr>
          <w:rFonts w:ascii="Times-Roman" w:hAnsi="Times-Roman" w:cs="Times-Roman"/>
          <w:sz w:val="24"/>
          <w:szCs w:val="24"/>
        </w:rPr>
        <w:t>Hémophilies ou patient avec AC anti F.VIII ou IX avant opération chirurgicale</w:t>
      </w:r>
    </w:p>
    <w:p w:rsidR="001045F2" w:rsidRPr="006C5DE9" w:rsidRDefault="001045F2" w:rsidP="001045F2">
      <w:pPr>
        <w:pStyle w:val="Paragraphedeliste"/>
        <w:numPr>
          <w:ilvl w:val="1"/>
          <w:numId w:val="1"/>
        </w:numPr>
      </w:pPr>
      <w:r>
        <w:rPr>
          <w:rFonts w:ascii="Times-Roman" w:hAnsi="Times-Roman" w:cs="Times-Roman"/>
          <w:sz w:val="24"/>
          <w:szCs w:val="24"/>
        </w:rPr>
        <w:t>Déficit congénital en F.VII</w:t>
      </w:r>
      <w:r w:rsidR="006C5DE9">
        <w:rPr>
          <w:rFonts w:ascii="Times-Roman" w:hAnsi="Times-Roman" w:cs="Times-Roman"/>
          <w:sz w:val="24"/>
          <w:szCs w:val="24"/>
        </w:rPr>
        <w:t xml:space="preserve"> avant la chirurgie</w:t>
      </w:r>
    </w:p>
    <w:p w:rsidR="006C5DE9" w:rsidRPr="006C5DE9" w:rsidRDefault="006C5DE9" w:rsidP="006C5DE9">
      <w:pPr>
        <w:pStyle w:val="Paragraphedeliste"/>
        <w:numPr>
          <w:ilvl w:val="1"/>
          <w:numId w:val="1"/>
        </w:numPr>
      </w:pPr>
      <w:r>
        <w:rPr>
          <w:rFonts w:ascii="Times-Roman" w:hAnsi="Times-Roman" w:cs="Times-Roman"/>
          <w:sz w:val="24"/>
          <w:szCs w:val="24"/>
        </w:rPr>
        <w:t>Agent de dernier recours lors d’hémorragies massives ne répondant pas aux autres traitement</w:t>
      </w:r>
      <w:r w:rsidR="00B9312F">
        <w:rPr>
          <w:rFonts w:ascii="Times-Roman" w:hAnsi="Times-Roman" w:cs="Times-Roman"/>
          <w:sz w:val="24"/>
          <w:szCs w:val="24"/>
        </w:rPr>
        <w:t>s</w:t>
      </w:r>
      <w:r>
        <w:rPr>
          <w:rFonts w:ascii="Times-Roman" w:hAnsi="Times-Roman" w:cs="Times-Roman"/>
          <w:sz w:val="24"/>
          <w:szCs w:val="24"/>
        </w:rPr>
        <w:t xml:space="preserve"> ni à la chirurgie (=&gt; accord cadre ou CDC hémato)</w:t>
      </w:r>
    </w:p>
    <w:p w:rsidR="00B9312F" w:rsidRPr="006C5DE9" w:rsidRDefault="00B9312F" w:rsidP="00B9312F">
      <w:pPr>
        <w:pStyle w:val="Paragraphedeliste"/>
        <w:numPr>
          <w:ilvl w:val="1"/>
          <w:numId w:val="1"/>
        </w:numPr>
      </w:pPr>
      <w:r>
        <w:rPr>
          <w:rFonts w:ascii="Times-Roman" w:hAnsi="Times-Roman" w:cs="Times-Roman"/>
          <w:sz w:val="24"/>
          <w:szCs w:val="24"/>
        </w:rPr>
        <w:t>NB : A</w:t>
      </w:r>
      <w:r w:rsidRPr="006C5DE9">
        <w:rPr>
          <w:rFonts w:ascii="Times-Roman" w:hAnsi="Times-Roman" w:cs="Times-Roman"/>
          <w:sz w:val="24"/>
          <w:szCs w:val="24"/>
          <w:lang w:val="fr-CH"/>
        </w:rPr>
        <w:t>vant</w:t>
      </w:r>
      <w:r>
        <w:rPr>
          <w:rFonts w:ascii="Times-Roman" w:hAnsi="Times-Roman" w:cs="Times-Roman"/>
          <w:sz w:val="24"/>
          <w:szCs w:val="24"/>
          <w:lang w:val="fr-CH"/>
        </w:rPr>
        <w:t xml:space="preserve"> </w:t>
      </w:r>
      <w:r w:rsidRPr="006C5DE9">
        <w:rPr>
          <w:rFonts w:ascii="Times-Roman" w:hAnsi="Times-Roman" w:cs="Times-Roman"/>
          <w:sz w:val="24"/>
          <w:szCs w:val="24"/>
          <w:lang w:val="fr-CH"/>
        </w:rPr>
        <w:t>d’administrer du rFVIIa, il faut s’assurer que les paramètres suivants ont atteints le seuil</w:t>
      </w:r>
      <w:r>
        <w:rPr>
          <w:rFonts w:ascii="Times-Roman" w:hAnsi="Times-Roman" w:cs="Times-Roman"/>
          <w:sz w:val="24"/>
          <w:szCs w:val="24"/>
          <w:lang w:val="fr-CH"/>
        </w:rPr>
        <w:t xml:space="preserve"> minimal requis afin qu’il </w:t>
      </w:r>
      <w:r w:rsidRPr="006C5DE9">
        <w:rPr>
          <w:rFonts w:ascii="Times-Roman" w:hAnsi="Times-Roman" w:cs="Times-Roman"/>
          <w:sz w:val="24"/>
          <w:szCs w:val="24"/>
          <w:lang w:val="fr-CH"/>
        </w:rPr>
        <w:t>puisse fonctionner efficacement</w:t>
      </w:r>
      <w:r>
        <w:rPr>
          <w:rFonts w:ascii="Times-Roman" w:hAnsi="Times-Roman" w:cs="Times-Roman"/>
          <w:sz w:val="24"/>
          <w:szCs w:val="24"/>
          <w:lang w:val="fr-CH"/>
        </w:rPr>
        <w:t> </w:t>
      </w:r>
      <w:r>
        <w:rPr>
          <w:rFonts w:ascii="Times-Roman" w:hAnsi="Times-Roman" w:cs="Times-Roman"/>
          <w:sz w:val="16"/>
          <w:szCs w:val="16"/>
          <w:lang w:val="fr-CH"/>
        </w:rPr>
        <w:t>:</w:t>
      </w:r>
    </w:p>
    <w:p w:rsidR="00B9312F" w:rsidRPr="006C5DE9" w:rsidRDefault="00B9312F" w:rsidP="00B9312F">
      <w:pPr>
        <w:pStyle w:val="Paragraphedeliste"/>
        <w:numPr>
          <w:ilvl w:val="2"/>
          <w:numId w:val="1"/>
        </w:numPr>
      </w:pPr>
      <w:r>
        <w:rPr>
          <w:rFonts w:ascii="Times-Roman" w:hAnsi="Times-Roman" w:cs="Times-Roman"/>
          <w:sz w:val="24"/>
          <w:szCs w:val="24"/>
          <w:lang w:val="fr-CH"/>
        </w:rPr>
        <w:t>H</w:t>
      </w:r>
      <w:r w:rsidRPr="006C5DE9">
        <w:rPr>
          <w:rFonts w:ascii="Times-Roman" w:hAnsi="Times-Roman" w:cs="Times-Roman"/>
          <w:sz w:val="24"/>
          <w:szCs w:val="24"/>
          <w:lang w:val="fr-CH"/>
        </w:rPr>
        <w:t>ématocrite : 20 - 24%</w:t>
      </w:r>
    </w:p>
    <w:p w:rsidR="00B9312F" w:rsidRPr="006C5DE9" w:rsidRDefault="00B9312F" w:rsidP="00B9312F">
      <w:pPr>
        <w:pStyle w:val="Paragraphedeliste"/>
        <w:numPr>
          <w:ilvl w:val="2"/>
          <w:numId w:val="1"/>
        </w:numPr>
      </w:pPr>
      <w:r>
        <w:rPr>
          <w:rFonts w:ascii="Times-Roman" w:hAnsi="Times-Roman" w:cs="Times-Roman"/>
          <w:sz w:val="24"/>
          <w:szCs w:val="24"/>
          <w:lang w:val="fr-CH"/>
        </w:rPr>
        <w:t xml:space="preserve"> T</w:t>
      </w:r>
      <w:r w:rsidRPr="006C5DE9">
        <w:rPr>
          <w:rFonts w:ascii="Times-Roman" w:hAnsi="Times-Roman" w:cs="Times-Roman"/>
          <w:sz w:val="24"/>
          <w:szCs w:val="24"/>
          <w:lang w:val="fr-CH"/>
        </w:rPr>
        <w:t xml:space="preserve">aux de fibrinogène </w:t>
      </w:r>
      <w:r w:rsidRPr="006C5DE9">
        <w:rPr>
          <w:rFonts w:ascii="Symbol" w:hAnsi="Symbol" w:cs="Symbol"/>
          <w:sz w:val="24"/>
          <w:szCs w:val="24"/>
          <w:lang w:val="fr-CH"/>
        </w:rPr>
        <w:t></w:t>
      </w:r>
      <w:r w:rsidRPr="006C5DE9">
        <w:rPr>
          <w:rFonts w:ascii="Symbol" w:hAnsi="Symbol" w:cs="Symbol"/>
          <w:sz w:val="24"/>
          <w:szCs w:val="24"/>
          <w:lang w:val="fr-CH"/>
        </w:rPr>
        <w:t></w:t>
      </w:r>
      <w:r w:rsidRPr="006C5DE9">
        <w:rPr>
          <w:rFonts w:ascii="Times-Roman" w:hAnsi="Times-Roman" w:cs="Times-Roman"/>
          <w:sz w:val="24"/>
          <w:szCs w:val="24"/>
          <w:lang w:val="fr-CH"/>
        </w:rPr>
        <w:t xml:space="preserve">0.5 g/l (de préférence </w:t>
      </w:r>
      <w:r w:rsidRPr="006C5DE9">
        <w:rPr>
          <w:rFonts w:ascii="Symbol" w:hAnsi="Symbol" w:cs="Symbol"/>
          <w:sz w:val="24"/>
          <w:szCs w:val="24"/>
          <w:lang w:val="fr-CH"/>
        </w:rPr>
        <w:t></w:t>
      </w:r>
      <w:r w:rsidRPr="006C5DE9">
        <w:rPr>
          <w:rFonts w:ascii="Symbol" w:hAnsi="Symbol" w:cs="Symbol"/>
          <w:sz w:val="24"/>
          <w:szCs w:val="24"/>
          <w:lang w:val="fr-CH"/>
        </w:rPr>
        <w:t></w:t>
      </w:r>
      <w:r w:rsidRPr="006C5DE9">
        <w:rPr>
          <w:rFonts w:ascii="Times-Roman" w:hAnsi="Times-Roman" w:cs="Times-Roman"/>
          <w:sz w:val="24"/>
          <w:szCs w:val="24"/>
          <w:lang w:val="fr-CH"/>
        </w:rPr>
        <w:t>1 g/l)</w:t>
      </w:r>
    </w:p>
    <w:p w:rsidR="00B9312F" w:rsidRPr="006C5DE9" w:rsidRDefault="00B9312F" w:rsidP="00B9312F">
      <w:pPr>
        <w:pStyle w:val="Paragraphedeliste"/>
        <w:numPr>
          <w:ilvl w:val="2"/>
          <w:numId w:val="1"/>
        </w:numPr>
      </w:pPr>
      <w:r>
        <w:rPr>
          <w:rFonts w:ascii="Times-Roman" w:hAnsi="Times-Roman" w:cs="Times-Roman"/>
          <w:sz w:val="24"/>
          <w:szCs w:val="24"/>
          <w:lang w:val="fr-CH"/>
        </w:rPr>
        <w:t>C</w:t>
      </w:r>
      <w:r w:rsidRPr="006C5DE9">
        <w:rPr>
          <w:rFonts w:ascii="Times-Roman" w:hAnsi="Times-Roman" w:cs="Times-Roman"/>
          <w:sz w:val="24"/>
          <w:szCs w:val="24"/>
          <w:lang w:val="fr-CH"/>
        </w:rPr>
        <w:t xml:space="preserve">ompte plaquettaire </w:t>
      </w:r>
      <w:r w:rsidRPr="006C5DE9">
        <w:rPr>
          <w:rFonts w:ascii="Symbol" w:hAnsi="Symbol" w:cs="Symbol"/>
          <w:sz w:val="24"/>
          <w:szCs w:val="24"/>
          <w:lang w:val="fr-CH"/>
        </w:rPr>
        <w:t></w:t>
      </w:r>
      <w:r w:rsidRPr="006C5DE9">
        <w:rPr>
          <w:rFonts w:ascii="Symbol" w:hAnsi="Symbol" w:cs="Symbol"/>
          <w:sz w:val="24"/>
          <w:szCs w:val="24"/>
          <w:lang w:val="fr-CH"/>
        </w:rPr>
        <w:t></w:t>
      </w:r>
      <w:r w:rsidRPr="006C5DE9">
        <w:rPr>
          <w:rFonts w:ascii="Times-Roman" w:hAnsi="Times-Roman" w:cs="Times-Roman"/>
          <w:sz w:val="24"/>
          <w:szCs w:val="24"/>
          <w:lang w:val="fr-CH"/>
        </w:rPr>
        <w:t>50 G/l</w:t>
      </w:r>
    </w:p>
    <w:p w:rsidR="00B9312F" w:rsidRDefault="00B9312F" w:rsidP="00B9312F">
      <w:pPr>
        <w:pStyle w:val="Paragraphedeliste"/>
        <w:numPr>
          <w:ilvl w:val="2"/>
          <w:numId w:val="1"/>
        </w:numPr>
      </w:pPr>
      <w:r w:rsidRPr="006C5DE9">
        <w:rPr>
          <w:rFonts w:ascii="Times-Roman" w:hAnsi="Times-Roman" w:cs="Times-Roman"/>
          <w:sz w:val="24"/>
          <w:szCs w:val="24"/>
          <w:lang w:val="fr-CH"/>
        </w:rPr>
        <w:t xml:space="preserve">pH </w:t>
      </w:r>
      <w:r w:rsidRPr="006C5DE9">
        <w:rPr>
          <w:rFonts w:ascii="Symbol" w:hAnsi="Symbol" w:cs="Symbol"/>
          <w:sz w:val="24"/>
          <w:szCs w:val="24"/>
          <w:lang w:val="fr-CH"/>
        </w:rPr>
        <w:t></w:t>
      </w:r>
      <w:r w:rsidRPr="006C5DE9">
        <w:rPr>
          <w:rFonts w:ascii="Symbol" w:hAnsi="Symbol" w:cs="Symbol"/>
          <w:sz w:val="24"/>
          <w:szCs w:val="24"/>
          <w:lang w:val="fr-CH"/>
        </w:rPr>
        <w:t></w:t>
      </w:r>
      <w:r w:rsidRPr="006C5DE9">
        <w:rPr>
          <w:rFonts w:ascii="Times-Roman" w:hAnsi="Times-Roman" w:cs="Times-Roman"/>
          <w:sz w:val="24"/>
          <w:szCs w:val="24"/>
          <w:lang w:val="fr-CH"/>
        </w:rPr>
        <w:t xml:space="preserve">7,2 (l’efficacité du rFVIIa diminue si le pH est </w:t>
      </w:r>
      <w:r w:rsidRPr="006C5DE9">
        <w:rPr>
          <w:rFonts w:ascii="Symbol" w:hAnsi="Symbol" w:cs="Symbol"/>
          <w:sz w:val="24"/>
          <w:szCs w:val="24"/>
          <w:lang w:val="fr-CH"/>
        </w:rPr>
        <w:t></w:t>
      </w:r>
      <w:r w:rsidRPr="006C5DE9">
        <w:rPr>
          <w:rFonts w:ascii="Symbol" w:hAnsi="Symbol" w:cs="Symbol"/>
          <w:sz w:val="24"/>
          <w:szCs w:val="24"/>
          <w:lang w:val="fr-CH"/>
        </w:rPr>
        <w:t></w:t>
      </w:r>
      <w:r w:rsidRPr="006C5DE9">
        <w:rPr>
          <w:rFonts w:ascii="Times-Roman" w:hAnsi="Times-Roman" w:cs="Times-Roman"/>
          <w:sz w:val="24"/>
          <w:szCs w:val="24"/>
          <w:lang w:val="fr-CH"/>
        </w:rPr>
        <w:t>7,1),</w:t>
      </w:r>
    </w:p>
    <w:p w:rsidR="00B9312F" w:rsidRPr="00B9312F" w:rsidRDefault="00B9312F" w:rsidP="006C5DE9">
      <w:pPr>
        <w:pStyle w:val="Paragraphedeliste"/>
        <w:numPr>
          <w:ilvl w:val="1"/>
          <w:numId w:val="1"/>
        </w:numPr>
      </w:pPr>
      <w:r>
        <w:rPr>
          <w:rFonts w:ascii="Times-Roman" w:hAnsi="Times-Roman" w:cs="Times-Roman"/>
          <w:sz w:val="24"/>
          <w:szCs w:val="24"/>
          <w:lang w:val="fr-CH"/>
        </w:rPr>
        <w:t>Surveil</w:t>
      </w:r>
      <w:r w:rsidR="007145FC">
        <w:rPr>
          <w:rFonts w:ascii="Times-Roman" w:hAnsi="Times-Roman" w:cs="Times-Roman"/>
          <w:sz w:val="24"/>
          <w:szCs w:val="24"/>
          <w:lang w:val="fr-CH"/>
        </w:rPr>
        <w:t>l</w:t>
      </w:r>
      <w:r>
        <w:rPr>
          <w:rFonts w:ascii="Times-Roman" w:hAnsi="Times-Roman" w:cs="Times-Roman"/>
          <w:sz w:val="24"/>
          <w:szCs w:val="24"/>
          <w:lang w:val="fr-CH"/>
        </w:rPr>
        <w:t>er ensuite la baisse du saignement et pister l’apparition de thromboses...</w:t>
      </w:r>
    </w:p>
    <w:p w:rsidR="00B9312F" w:rsidRDefault="00B9312F" w:rsidP="007145FC"/>
    <w:sectPr w:rsidR="00B9312F" w:rsidSect="00C2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F12"/>
    <w:multiLevelType w:val="hybridMultilevel"/>
    <w:tmpl w:val="CA4A0B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045F2"/>
    <w:rsid w:val="000D3D0E"/>
    <w:rsid w:val="001045F2"/>
    <w:rsid w:val="001A47BD"/>
    <w:rsid w:val="003D7616"/>
    <w:rsid w:val="00412263"/>
    <w:rsid w:val="005444CE"/>
    <w:rsid w:val="006A11A5"/>
    <w:rsid w:val="006C5DE9"/>
    <w:rsid w:val="007145FC"/>
    <w:rsid w:val="00751919"/>
    <w:rsid w:val="0090110E"/>
    <w:rsid w:val="009807D7"/>
    <w:rsid w:val="009A0FCC"/>
    <w:rsid w:val="00AF00EE"/>
    <w:rsid w:val="00B9312F"/>
    <w:rsid w:val="00C2171F"/>
    <w:rsid w:val="00DB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1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chefcli</dc:creator>
  <cp:keywords/>
  <dc:description/>
  <cp:lastModifiedBy>chefcli</cp:lastModifiedBy>
  <cp:revision>4</cp:revision>
  <dcterms:created xsi:type="dcterms:W3CDTF">2010-12-13T13:47:00Z</dcterms:created>
  <dcterms:modified xsi:type="dcterms:W3CDTF">2010-12-13T13:54:00Z</dcterms:modified>
</cp:coreProperties>
</file>