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00B06" w14:textId="77777777" w:rsidR="00E46BFB" w:rsidRDefault="00144872" w:rsidP="00E46BFB">
      <w:pPr>
        <w:pStyle w:val="NormalWeb"/>
        <w:spacing w:before="0" w:beforeAutospacing="0" w:after="0" w:afterAutospacing="0"/>
        <w:jc w:val="center"/>
        <w:rPr>
          <w:rFonts w:ascii="Times" w:hAnsi="Times"/>
          <w:i/>
          <w:iCs/>
        </w:rPr>
      </w:pPr>
      <w:bookmarkStart w:id="0" w:name="_GoBack"/>
      <w:bookmarkEnd w:id="0"/>
      <w:r w:rsidRPr="00F97D82">
        <w:rPr>
          <w:b/>
          <w:bCs/>
          <w:sz w:val="36"/>
          <w:szCs w:val="36"/>
        </w:rPr>
        <w:t>LES URTICAIRES AIGUËS</w:t>
      </w:r>
      <w:r w:rsidR="00E46BFB" w:rsidRPr="00E46BFB">
        <w:rPr>
          <w:rFonts w:ascii="Times" w:hAnsi="Times"/>
          <w:i/>
          <w:iCs/>
        </w:rPr>
        <w:t xml:space="preserve"> </w:t>
      </w:r>
    </w:p>
    <w:p w14:paraId="6815BE07" w14:textId="2EE16448" w:rsidR="00F97D82" w:rsidRDefault="00E46BFB" w:rsidP="00E46BFB">
      <w:pPr>
        <w:pStyle w:val="NormalWeb"/>
        <w:spacing w:before="0" w:beforeAutospacing="0" w:after="0" w:afterAutospacing="0"/>
        <w:jc w:val="center"/>
        <w:rPr>
          <w:rFonts w:ascii="Times" w:hAnsi="Times"/>
        </w:rPr>
      </w:pPr>
      <w:proofErr w:type="spellStart"/>
      <w:r>
        <w:rPr>
          <w:rFonts w:ascii="Times" w:hAnsi="Times"/>
          <w:i/>
          <w:iCs/>
        </w:rPr>
        <w:t>Pediatrics</w:t>
      </w:r>
      <w:proofErr w:type="spellEnd"/>
      <w:r>
        <w:rPr>
          <w:rFonts w:ascii="Times" w:hAnsi="Times"/>
          <w:i/>
          <w:iCs/>
        </w:rPr>
        <w:t xml:space="preserve"> in </w:t>
      </w:r>
      <w:proofErr w:type="spellStart"/>
      <w:r>
        <w:rPr>
          <w:rFonts w:ascii="Times" w:hAnsi="Times"/>
          <w:i/>
          <w:iCs/>
        </w:rPr>
        <w:t>Review</w:t>
      </w:r>
      <w:proofErr w:type="spellEnd"/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</w:rPr>
        <w:t>2020;41;283</w:t>
      </w:r>
    </w:p>
    <w:p w14:paraId="6E62B6C6" w14:textId="4BA3F709" w:rsidR="00302622" w:rsidRPr="00302622" w:rsidRDefault="00C37779" w:rsidP="00E46BFB">
      <w:pPr>
        <w:pStyle w:val="NormalWeb"/>
        <w:spacing w:before="0" w:beforeAutospacing="0" w:after="0" w:afterAutospacing="0"/>
        <w:jc w:val="center"/>
        <w:rPr>
          <w:rFonts w:ascii="Times" w:hAnsi="Times"/>
          <w:i/>
          <w:iCs/>
        </w:rPr>
      </w:pPr>
      <w:hyperlink r:id="rId5" w:history="1">
        <w:r w:rsidR="00977DF9">
          <w:rPr>
            <w:rFonts w:ascii="Times" w:hAnsi="Times"/>
            <w:i/>
            <w:iCs/>
          </w:rPr>
          <w:t>D</w:t>
        </w:r>
        <w:r w:rsidR="00302622" w:rsidRPr="00302622">
          <w:rPr>
            <w:rFonts w:ascii="Times" w:hAnsi="Times"/>
            <w:i/>
            <w:iCs/>
          </w:rPr>
          <w:t>ermatologie-pratique.com</w:t>
        </w:r>
      </w:hyperlink>
      <w:r w:rsidR="00977DF9">
        <w:rPr>
          <w:rFonts w:ascii="Times" w:hAnsi="Times"/>
          <w:i/>
          <w:iCs/>
        </w:rPr>
        <w:t> ; nov. 2022</w:t>
      </w:r>
    </w:p>
    <w:p w14:paraId="46E76DE1" w14:textId="77777777" w:rsidR="00E46BFB" w:rsidRPr="00302622" w:rsidRDefault="00E46BFB" w:rsidP="00302622">
      <w:pPr>
        <w:pStyle w:val="NormalWeb"/>
        <w:spacing w:before="0" w:beforeAutospacing="0" w:after="0" w:afterAutospacing="0"/>
        <w:jc w:val="center"/>
        <w:rPr>
          <w:rFonts w:ascii="Times" w:hAnsi="Times"/>
          <w:i/>
          <w:iCs/>
        </w:rPr>
      </w:pPr>
    </w:p>
    <w:p w14:paraId="5E9CB9BE" w14:textId="05884C2A" w:rsidR="003A19AC" w:rsidRDefault="00144872" w:rsidP="00144872">
      <w:pPr>
        <w:pStyle w:val="Paragraphedeliste"/>
        <w:numPr>
          <w:ilvl w:val="0"/>
          <w:numId w:val="4"/>
        </w:numPr>
      </w:pPr>
      <w:r>
        <w:t>S</w:t>
      </w:r>
      <w:r w:rsidR="0071716A">
        <w:t xml:space="preserve">urviennent </w:t>
      </w:r>
      <w:r w:rsidR="0071716A" w:rsidRPr="003A19AC">
        <w:rPr>
          <w:color w:val="00B0F0"/>
        </w:rPr>
        <w:t>dans les 2 heures</w:t>
      </w:r>
      <w:r w:rsidR="003A19AC">
        <w:t xml:space="preserve"> après une exposition</w:t>
      </w:r>
    </w:p>
    <w:p w14:paraId="7448FE4D" w14:textId="77777777" w:rsidR="003A19AC" w:rsidRDefault="003A19AC" w:rsidP="00144872">
      <w:pPr>
        <w:pStyle w:val="Paragraphedeliste"/>
        <w:numPr>
          <w:ilvl w:val="0"/>
          <w:numId w:val="4"/>
        </w:numPr>
      </w:pPr>
      <w:r w:rsidRPr="003A19AC">
        <w:t>N</w:t>
      </w:r>
      <w:r w:rsidR="00BD78EA" w:rsidRPr="003A19AC">
        <w:t xml:space="preserve">écessitent un </w:t>
      </w:r>
      <w:r w:rsidR="00BD78EA" w:rsidRPr="003A19AC">
        <w:rPr>
          <w:color w:val="00B0F0"/>
        </w:rPr>
        <w:t xml:space="preserve">bilan </w:t>
      </w:r>
      <w:proofErr w:type="spellStart"/>
      <w:r w:rsidR="00BD78EA" w:rsidRPr="003A19AC">
        <w:rPr>
          <w:color w:val="00B0F0"/>
        </w:rPr>
        <w:t>allergologique</w:t>
      </w:r>
      <w:proofErr w:type="spellEnd"/>
      <w:r w:rsidR="00BD78EA">
        <w:t xml:space="preserve">. </w:t>
      </w:r>
    </w:p>
    <w:p w14:paraId="0E5A81CF" w14:textId="172DE212" w:rsidR="00BD78EA" w:rsidRDefault="003A19AC" w:rsidP="00144872">
      <w:pPr>
        <w:pStyle w:val="Paragraphedeliste"/>
        <w:numPr>
          <w:ilvl w:val="0"/>
          <w:numId w:val="4"/>
        </w:numPr>
      </w:pPr>
      <w:r>
        <w:t>Etiologies</w:t>
      </w:r>
      <w:r w:rsidR="00BD78EA">
        <w:t xml:space="preserve"> </w:t>
      </w:r>
      <w:r>
        <w:t>(</w:t>
      </w:r>
      <w:r w:rsidR="00BD78EA">
        <w:t>par ordre de fréque</w:t>
      </w:r>
      <w:r w:rsidR="00FF5C08">
        <w:t>n</w:t>
      </w:r>
      <w:r w:rsidR="00BD78EA">
        <w:t>ce chez l’enfant</w:t>
      </w:r>
      <w:r>
        <w:t>)</w:t>
      </w:r>
      <w:r w:rsidR="00BD78EA">
        <w:t> :</w:t>
      </w:r>
    </w:p>
    <w:p w14:paraId="478FFCBC" w14:textId="4AD0FB4A" w:rsidR="00BD78EA" w:rsidRDefault="00BD78EA" w:rsidP="00BD78EA">
      <w:pPr>
        <w:pStyle w:val="Paragraphedeliste"/>
        <w:numPr>
          <w:ilvl w:val="1"/>
          <w:numId w:val="1"/>
        </w:numPr>
      </w:pPr>
      <w:r>
        <w:t xml:space="preserve">60% </w:t>
      </w:r>
      <w:r w:rsidR="003A19AC">
        <w:t xml:space="preserve">infectieuses : </w:t>
      </w:r>
      <w:r>
        <w:t>viral</w:t>
      </w:r>
      <w:r w:rsidR="00207E7A">
        <w:t>, bactérie, parasites</w:t>
      </w:r>
    </w:p>
    <w:p w14:paraId="58F8A1D6" w14:textId="47D5CF9B" w:rsidR="00BD78EA" w:rsidRDefault="00BD78EA" w:rsidP="00BD78EA">
      <w:pPr>
        <w:pStyle w:val="Paragraphedeliste"/>
        <w:numPr>
          <w:ilvl w:val="1"/>
          <w:numId w:val="1"/>
        </w:numPr>
      </w:pPr>
      <w:r>
        <w:t xml:space="preserve">6% </w:t>
      </w:r>
      <w:r w:rsidR="003A19AC">
        <w:t>médicamenteuse : AINS, antibiotiques, narcotiques</w:t>
      </w:r>
    </w:p>
    <w:p w14:paraId="611F4B41" w14:textId="5CCEFA66" w:rsidR="00BD78EA" w:rsidRPr="00F466F3" w:rsidRDefault="00BD78EA" w:rsidP="00BD78EA">
      <w:pPr>
        <w:pStyle w:val="Paragraphedeliste"/>
        <w:numPr>
          <w:ilvl w:val="1"/>
          <w:numId w:val="1"/>
        </w:numPr>
      </w:pPr>
      <w:r>
        <w:t>2,5% sur piqûre d’insectes</w:t>
      </w:r>
      <w:r w:rsidR="003A19AC">
        <w:t xml:space="preserve"> : </w:t>
      </w:r>
      <w:r w:rsidR="00207E7A">
        <w:t xml:space="preserve">abeilles, </w:t>
      </w:r>
      <w:r w:rsidR="003A19AC">
        <w:t>guêpes, frelons, fourmis rouges, …</w:t>
      </w:r>
    </w:p>
    <w:p w14:paraId="594EF89F" w14:textId="77777777" w:rsidR="004F1DCD" w:rsidRDefault="00BD78EA" w:rsidP="003A19AC">
      <w:pPr>
        <w:pStyle w:val="Paragraphedeliste"/>
        <w:numPr>
          <w:ilvl w:val="1"/>
          <w:numId w:val="1"/>
        </w:numPr>
      </w:pPr>
      <w:r w:rsidRPr="00F466F3">
        <w:rPr>
          <w:color w:val="FF0000"/>
        </w:rPr>
        <w:t xml:space="preserve">1,3% </w:t>
      </w:r>
      <w:r w:rsidRPr="000B36BC">
        <w:t xml:space="preserve">seulement </w:t>
      </w:r>
      <w:r w:rsidRPr="00F466F3">
        <w:rPr>
          <w:color w:val="FF0000"/>
        </w:rPr>
        <w:t>alimentaires</w:t>
      </w:r>
      <w:r w:rsidR="003A19AC" w:rsidRPr="00F466F3">
        <w:rPr>
          <w:color w:val="FF0000"/>
        </w:rPr>
        <w:t xml:space="preserve"> </w:t>
      </w:r>
      <w:r w:rsidR="004F1DCD">
        <w:t xml:space="preserve"> </w:t>
      </w:r>
      <w:r w:rsidR="004F1DCD">
        <w:sym w:font="Wingdings" w:char="F0E0"/>
      </w:r>
      <w:r w:rsidR="004F1DCD">
        <w:t xml:space="preserve"> D</w:t>
      </w:r>
      <w:r w:rsidR="008D4931" w:rsidRPr="004F1DCD">
        <w:t xml:space="preserve">élai </w:t>
      </w:r>
      <w:r w:rsidR="004F1DCD">
        <w:t>apparition urticaire :</w:t>
      </w:r>
    </w:p>
    <w:p w14:paraId="26CDA122" w14:textId="695F7B3B" w:rsidR="004F1DCD" w:rsidRDefault="008D4931" w:rsidP="004F1DCD">
      <w:pPr>
        <w:pStyle w:val="Paragraphedeliste"/>
        <w:numPr>
          <w:ilvl w:val="2"/>
          <w:numId w:val="1"/>
        </w:numPr>
      </w:pPr>
      <w:r w:rsidRPr="004F1DCD">
        <w:rPr>
          <w:color w:val="FF0000"/>
        </w:rPr>
        <w:t>20 min</w:t>
      </w:r>
      <w:r w:rsidR="004F1DCD">
        <w:rPr>
          <w:color w:val="FF0000"/>
        </w:rPr>
        <w:t>.</w:t>
      </w:r>
      <w:r w:rsidRPr="004F1DCD">
        <w:rPr>
          <w:color w:val="FF0000"/>
        </w:rPr>
        <w:t xml:space="preserve"> </w:t>
      </w:r>
      <w:r w:rsidR="004F1DCD">
        <w:t>pour les cacahuètes</w:t>
      </w:r>
    </w:p>
    <w:p w14:paraId="62550C84" w14:textId="07C9F242" w:rsidR="004F1DCD" w:rsidRDefault="008D4931" w:rsidP="004F1DCD">
      <w:pPr>
        <w:pStyle w:val="Paragraphedeliste"/>
        <w:numPr>
          <w:ilvl w:val="2"/>
          <w:numId w:val="1"/>
        </w:numPr>
      </w:pPr>
      <w:r w:rsidRPr="004F1DCD">
        <w:rPr>
          <w:color w:val="FF0000"/>
        </w:rPr>
        <w:t xml:space="preserve">60 </w:t>
      </w:r>
      <w:r w:rsidR="004F1DCD">
        <w:rPr>
          <w:color w:val="FF0000"/>
        </w:rPr>
        <w:t>min.</w:t>
      </w:r>
      <w:r w:rsidRPr="004F1DCD">
        <w:rPr>
          <w:color w:val="FF0000"/>
        </w:rPr>
        <w:t xml:space="preserve"> </w:t>
      </w:r>
      <w:r w:rsidR="004F1DCD">
        <w:t>pour le lait</w:t>
      </w:r>
    </w:p>
    <w:p w14:paraId="17AB81AA" w14:textId="654C2019" w:rsidR="008D4931" w:rsidRPr="004F1DCD" w:rsidRDefault="008D4931" w:rsidP="004F1DCD">
      <w:pPr>
        <w:pStyle w:val="Paragraphedeliste"/>
        <w:numPr>
          <w:ilvl w:val="2"/>
          <w:numId w:val="1"/>
        </w:numPr>
      </w:pPr>
      <w:r w:rsidRPr="004F1DCD">
        <w:rPr>
          <w:color w:val="FF0000"/>
        </w:rPr>
        <w:t xml:space="preserve">90 min. </w:t>
      </w:r>
      <w:r w:rsidRPr="004F1DCD">
        <w:t xml:space="preserve">pour les </w:t>
      </w:r>
      <w:r w:rsidR="003A19AC" w:rsidRPr="004F1DCD">
        <w:t>œufs</w:t>
      </w:r>
    </w:p>
    <w:p w14:paraId="376F2F86" w14:textId="77777777" w:rsidR="00E46BFB" w:rsidRPr="00F466F3" w:rsidRDefault="00E46BFB" w:rsidP="00E46BFB">
      <w:pPr>
        <w:pStyle w:val="Paragraphedeliste"/>
        <w:ind w:left="1440"/>
      </w:pPr>
    </w:p>
    <w:p w14:paraId="4C54001C" w14:textId="5205478C" w:rsidR="00F837E3" w:rsidRPr="00F466F3" w:rsidRDefault="00F837E3" w:rsidP="00F00C5E">
      <w:pPr>
        <w:pStyle w:val="Paragraphedeliste"/>
        <w:numPr>
          <w:ilvl w:val="0"/>
          <w:numId w:val="2"/>
        </w:numPr>
      </w:pPr>
      <w:r w:rsidRPr="00F466F3">
        <w:t>Bilan :</w:t>
      </w:r>
    </w:p>
    <w:p w14:paraId="2F96AB63" w14:textId="4DFA341F" w:rsidR="00F837E3" w:rsidRDefault="00F837E3" w:rsidP="00F837E3">
      <w:pPr>
        <w:pStyle w:val="Paragraphedeliste"/>
        <w:numPr>
          <w:ilvl w:val="1"/>
          <w:numId w:val="2"/>
        </w:numPr>
      </w:pPr>
      <w:r w:rsidRPr="00F837E3">
        <w:t>Demander aux parents de prendre des photos</w:t>
      </w:r>
    </w:p>
    <w:p w14:paraId="492D9248" w14:textId="77777777" w:rsidR="00842365" w:rsidRDefault="00842365" w:rsidP="00F837E3">
      <w:pPr>
        <w:pStyle w:val="Paragraphedeliste"/>
        <w:numPr>
          <w:ilvl w:val="1"/>
          <w:numId w:val="2"/>
        </w:numPr>
      </w:pPr>
      <w:r>
        <w:t>En 1</w:t>
      </w:r>
      <w:r w:rsidRPr="00842365">
        <w:rPr>
          <w:vertAlign w:val="superscript"/>
        </w:rPr>
        <w:t>ère</w:t>
      </w:r>
      <w:r>
        <w:t xml:space="preserve"> intention :</w:t>
      </w:r>
    </w:p>
    <w:p w14:paraId="7C30E572" w14:textId="6FB3CF17" w:rsidR="00842365" w:rsidRDefault="00842365" w:rsidP="00842365">
      <w:pPr>
        <w:pStyle w:val="Paragraphedeliste"/>
        <w:numPr>
          <w:ilvl w:val="2"/>
          <w:numId w:val="2"/>
        </w:numPr>
      </w:pPr>
      <w:r>
        <w:t>FSC, CRP (puisque la cause principale est infectieuse)</w:t>
      </w:r>
    </w:p>
    <w:p w14:paraId="601CAB07" w14:textId="29593286" w:rsidR="00842365" w:rsidRDefault="00842365" w:rsidP="00842365">
      <w:pPr>
        <w:pStyle w:val="Paragraphedeliste"/>
        <w:numPr>
          <w:ilvl w:val="2"/>
          <w:numId w:val="2"/>
        </w:numPr>
      </w:pPr>
      <w:r>
        <w:t>Dosage IgE totale</w:t>
      </w:r>
    </w:p>
    <w:p w14:paraId="65592E7C" w14:textId="4FEAA3FB" w:rsidR="00842365" w:rsidRDefault="000B36BC" w:rsidP="00842365">
      <w:pPr>
        <w:pStyle w:val="Paragraphedeliste"/>
        <w:numPr>
          <w:ilvl w:val="2"/>
          <w:numId w:val="2"/>
        </w:numPr>
      </w:pPr>
      <w:r>
        <w:t>AC anti-</w:t>
      </w:r>
      <w:proofErr w:type="spellStart"/>
      <w:r>
        <w:t>t</w:t>
      </w:r>
      <w:r w:rsidR="00842365">
        <w:t>h</w:t>
      </w:r>
      <w:r>
        <w:t>yropé</w:t>
      </w:r>
      <w:r w:rsidR="00842365">
        <w:t>roxydase</w:t>
      </w:r>
      <w:proofErr w:type="spellEnd"/>
    </w:p>
    <w:p w14:paraId="4C222914" w14:textId="7451AB98" w:rsidR="00F837E3" w:rsidRDefault="00842365" w:rsidP="00842365">
      <w:pPr>
        <w:pStyle w:val="Paragraphedeliste"/>
        <w:numPr>
          <w:ilvl w:val="2"/>
          <w:numId w:val="2"/>
        </w:numPr>
      </w:pPr>
      <w:r>
        <w:t>Pas forcément de bilan allergologie si pas de cause claire</w:t>
      </w:r>
    </w:p>
    <w:p w14:paraId="3F7EF8E7" w14:textId="77777777" w:rsidR="00E46BFB" w:rsidRPr="00F837E3" w:rsidRDefault="00E46BFB" w:rsidP="00E46BFB">
      <w:pPr>
        <w:pStyle w:val="Paragraphedeliste"/>
        <w:ind w:left="2160"/>
      </w:pPr>
    </w:p>
    <w:p w14:paraId="2C8E3D87" w14:textId="320DA185" w:rsidR="002F7392" w:rsidRPr="00AA0A12" w:rsidRDefault="00AA0A12" w:rsidP="002F7392">
      <w:pPr>
        <w:pStyle w:val="Paragraphedeliste"/>
        <w:numPr>
          <w:ilvl w:val="0"/>
          <w:numId w:val="2"/>
        </w:numPr>
      </w:pPr>
      <w:r>
        <w:t>TRAITEMENT</w:t>
      </w:r>
      <w:r w:rsidRPr="00AA0A12">
        <w:t>:</w:t>
      </w:r>
    </w:p>
    <w:p w14:paraId="3ECA75FA" w14:textId="1AE8905B" w:rsidR="002F7392" w:rsidRPr="002F7392" w:rsidRDefault="002F7392" w:rsidP="002F7392">
      <w:pPr>
        <w:pStyle w:val="Paragraphedeliste"/>
        <w:numPr>
          <w:ilvl w:val="1"/>
          <w:numId w:val="2"/>
        </w:numPr>
      </w:pPr>
      <w:r>
        <w:rPr>
          <w:sz w:val="22"/>
          <w:szCs w:val="22"/>
        </w:rPr>
        <w:t>Eviction autant que possible des facteurs</w:t>
      </w:r>
      <w:r w:rsidR="000B36BC">
        <w:rPr>
          <w:sz w:val="22"/>
          <w:szCs w:val="22"/>
        </w:rPr>
        <w:t xml:space="preserve"> déclenchants</w:t>
      </w:r>
      <w:r>
        <w:rPr>
          <w:sz w:val="22"/>
          <w:szCs w:val="22"/>
        </w:rPr>
        <w:t>/aggravants :</w:t>
      </w:r>
    </w:p>
    <w:p w14:paraId="7E72529C" w14:textId="370BE48B" w:rsidR="002F7392" w:rsidRPr="002F7392" w:rsidRDefault="002F7392" w:rsidP="002F7392">
      <w:pPr>
        <w:pStyle w:val="Paragraphedeliste"/>
        <w:numPr>
          <w:ilvl w:val="2"/>
          <w:numId w:val="2"/>
        </w:numPr>
      </w:pPr>
      <w:r>
        <w:rPr>
          <w:sz w:val="22"/>
          <w:szCs w:val="22"/>
        </w:rPr>
        <w:t>Stress</w:t>
      </w:r>
    </w:p>
    <w:p w14:paraId="13078114" w14:textId="77777777" w:rsidR="002F7392" w:rsidRPr="002F7392" w:rsidRDefault="002F7392" w:rsidP="002F7392">
      <w:pPr>
        <w:pStyle w:val="Paragraphedeliste"/>
        <w:numPr>
          <w:ilvl w:val="2"/>
          <w:numId w:val="2"/>
        </w:numPr>
      </w:pPr>
      <w:r>
        <w:rPr>
          <w:sz w:val="22"/>
          <w:szCs w:val="22"/>
        </w:rPr>
        <w:t>AINS</w:t>
      </w:r>
    </w:p>
    <w:p w14:paraId="4C2CBD9D" w14:textId="040C6E90" w:rsidR="002F7392" w:rsidRPr="002F7392" w:rsidRDefault="002F7392" w:rsidP="002F7392">
      <w:pPr>
        <w:pStyle w:val="Paragraphedeliste"/>
        <w:numPr>
          <w:ilvl w:val="2"/>
          <w:numId w:val="2"/>
        </w:numPr>
      </w:pPr>
      <w:r>
        <w:rPr>
          <w:sz w:val="22"/>
          <w:szCs w:val="22"/>
        </w:rPr>
        <w:t xml:space="preserve">Facteurs physiques </w:t>
      </w:r>
    </w:p>
    <w:p w14:paraId="051F8BDD" w14:textId="1D97A9D4" w:rsidR="00E46BFB" w:rsidRDefault="002F7392" w:rsidP="00AA0A12">
      <w:pPr>
        <w:pStyle w:val="Paragraphedeliste"/>
        <w:numPr>
          <w:ilvl w:val="2"/>
          <w:numId w:val="2"/>
        </w:numPr>
      </w:pPr>
      <w:r>
        <w:rPr>
          <w:sz w:val="22"/>
          <w:szCs w:val="22"/>
        </w:rPr>
        <w:t>...</w:t>
      </w:r>
    </w:p>
    <w:p w14:paraId="02ECB54F" w14:textId="77777777" w:rsidR="006A5FBB" w:rsidRPr="00AA0A12" w:rsidRDefault="006A5FBB" w:rsidP="006A5FBB">
      <w:pPr>
        <w:pStyle w:val="Paragraphedeliste"/>
        <w:numPr>
          <w:ilvl w:val="1"/>
          <w:numId w:val="2"/>
        </w:numPr>
      </w:pPr>
      <w:r>
        <w:t>Antihistaminiques 2</w:t>
      </w:r>
      <w:r w:rsidRPr="002F7392">
        <w:rPr>
          <w:vertAlign w:val="superscript"/>
        </w:rPr>
        <w:t>ème</w:t>
      </w:r>
      <w:r>
        <w:t xml:space="preserve"> génération (1</w:t>
      </w:r>
      <w:r w:rsidRPr="002F7392">
        <w:rPr>
          <w:vertAlign w:val="superscript"/>
        </w:rPr>
        <w:t>ère</w:t>
      </w:r>
      <w:r>
        <w:t xml:space="preserve"> génération avec trop d’EI) </w:t>
      </w:r>
      <w:r>
        <w:sym w:font="Wingdings" w:char="F0E0"/>
      </w:r>
      <w:r>
        <w:t xml:space="preserve"> Débuter à dose normale puis augmenter au besoin ad max. </w:t>
      </w:r>
      <w:r w:rsidRPr="00040B4C">
        <w:rPr>
          <w:color w:val="00B0F0"/>
        </w:rPr>
        <w:t xml:space="preserve">4 x la dose </w:t>
      </w:r>
      <w:r>
        <w:t xml:space="preserve">et ne </w:t>
      </w:r>
      <w:r w:rsidRPr="00040B4C">
        <w:rPr>
          <w:color w:val="FF0000"/>
        </w:rPr>
        <w:t>pas associer plusieurs anti-H1</w:t>
      </w:r>
      <w:r w:rsidRPr="00AA0A12">
        <w:t>.</w:t>
      </w:r>
    </w:p>
    <w:p w14:paraId="4DF4396B" w14:textId="77777777" w:rsidR="006A5FBB" w:rsidRPr="00AA0A12" w:rsidRDefault="006A5FBB" w:rsidP="006A5FBB">
      <w:pPr>
        <w:pStyle w:val="Paragraphedeliste"/>
        <w:numPr>
          <w:ilvl w:val="3"/>
          <w:numId w:val="6"/>
        </w:numPr>
        <w:ind w:left="2127"/>
      </w:pPr>
      <w:proofErr w:type="spellStart"/>
      <w:r w:rsidRPr="00AA0A12">
        <w:t>Cétirizine</w:t>
      </w:r>
      <w:proofErr w:type="spellEnd"/>
      <w:r w:rsidRPr="00AA0A12">
        <w:t xml:space="preserve"> (</w:t>
      </w:r>
      <w:proofErr w:type="spellStart"/>
      <w:r w:rsidRPr="00AA0A12">
        <w:t>Cetallerg</w:t>
      </w:r>
      <w:proofErr w:type="spellEnd"/>
      <w:r w:rsidRPr="00AA0A12">
        <w:t xml:space="preserve">®, </w:t>
      </w:r>
      <w:proofErr w:type="spellStart"/>
      <w:r w:rsidRPr="00AA0A12">
        <w:t>Zyrtec</w:t>
      </w:r>
      <w:proofErr w:type="spellEnd"/>
      <w:r w:rsidRPr="00AA0A12">
        <w:t>®)</w:t>
      </w:r>
      <w:r>
        <w:t>.</w:t>
      </w:r>
    </w:p>
    <w:p w14:paraId="2D4B8DAC" w14:textId="77777777" w:rsidR="006A5FBB" w:rsidRPr="00AA0A12" w:rsidRDefault="006A5FBB" w:rsidP="006A5FBB">
      <w:pPr>
        <w:pStyle w:val="Paragraphedeliste"/>
        <w:numPr>
          <w:ilvl w:val="3"/>
          <w:numId w:val="6"/>
        </w:numPr>
        <w:ind w:left="2127"/>
      </w:pPr>
      <w:proofErr w:type="spellStart"/>
      <w:r w:rsidRPr="00AA0A12">
        <w:t>Levo-cétirizine</w:t>
      </w:r>
      <w:proofErr w:type="spellEnd"/>
      <w:r w:rsidRPr="00AA0A12">
        <w:t xml:space="preserve"> (</w:t>
      </w:r>
      <w:proofErr w:type="spellStart"/>
      <w:r w:rsidRPr="00AA0A12">
        <w:t>Xyzal</w:t>
      </w:r>
      <w:proofErr w:type="spellEnd"/>
      <w:r w:rsidRPr="00AA0A12">
        <w:t>®)</w:t>
      </w:r>
      <w:r>
        <w:t>.</w:t>
      </w:r>
    </w:p>
    <w:p w14:paraId="4686DB1F" w14:textId="77777777" w:rsidR="006A5FBB" w:rsidRPr="00AA0A12" w:rsidRDefault="006A5FBB" w:rsidP="006A5FBB">
      <w:pPr>
        <w:pStyle w:val="Paragraphedeliste"/>
        <w:numPr>
          <w:ilvl w:val="3"/>
          <w:numId w:val="6"/>
        </w:numPr>
        <w:ind w:left="2127"/>
      </w:pPr>
      <w:proofErr w:type="spellStart"/>
      <w:r w:rsidRPr="00AA0A12">
        <w:t>Loratadine</w:t>
      </w:r>
      <w:proofErr w:type="spellEnd"/>
      <w:r w:rsidRPr="00AA0A12">
        <w:t xml:space="preserve"> (</w:t>
      </w:r>
      <w:proofErr w:type="spellStart"/>
      <w:r w:rsidRPr="00AA0A12">
        <w:t>Claritin</w:t>
      </w:r>
      <w:proofErr w:type="spellEnd"/>
      <w:r w:rsidRPr="00AA0A12">
        <w:t>®, …)</w:t>
      </w:r>
      <w:r>
        <w:t>.</w:t>
      </w:r>
    </w:p>
    <w:p w14:paraId="3E9113B9" w14:textId="77777777" w:rsidR="006A5FBB" w:rsidRPr="00AA0A12" w:rsidRDefault="006A5FBB" w:rsidP="006A5FBB">
      <w:pPr>
        <w:pStyle w:val="Paragraphedeliste"/>
        <w:numPr>
          <w:ilvl w:val="3"/>
          <w:numId w:val="6"/>
        </w:numPr>
        <w:ind w:left="2127"/>
      </w:pPr>
      <w:proofErr w:type="spellStart"/>
      <w:r w:rsidRPr="00AA0A12">
        <w:rPr>
          <w:sz w:val="22"/>
          <w:szCs w:val="22"/>
        </w:rPr>
        <w:t>Bilastine</w:t>
      </w:r>
      <w:proofErr w:type="spellEnd"/>
      <w:r w:rsidRPr="00AA0A12">
        <w:rPr>
          <w:sz w:val="22"/>
          <w:szCs w:val="22"/>
        </w:rPr>
        <w:t xml:space="preserve"> (</w:t>
      </w:r>
      <w:proofErr w:type="spellStart"/>
      <w:r w:rsidRPr="00AA0A12">
        <w:rPr>
          <w:sz w:val="22"/>
          <w:szCs w:val="22"/>
        </w:rPr>
        <w:t>Bilaxten</w:t>
      </w:r>
      <w:proofErr w:type="spellEnd"/>
      <w:r w:rsidRPr="00AA0A12">
        <w:rPr>
          <w:sz w:val="22"/>
          <w:szCs w:val="22"/>
        </w:rPr>
        <w:t>®)</w:t>
      </w:r>
      <w:r>
        <w:rPr>
          <w:sz w:val="22"/>
          <w:szCs w:val="22"/>
        </w:rPr>
        <w:t>.</w:t>
      </w:r>
    </w:p>
    <w:p w14:paraId="5EAE636B" w14:textId="77777777" w:rsidR="006A5FBB" w:rsidRPr="00AA0A12" w:rsidRDefault="006A5FBB" w:rsidP="006A5FBB">
      <w:pPr>
        <w:pStyle w:val="Paragraphedeliste"/>
        <w:numPr>
          <w:ilvl w:val="3"/>
          <w:numId w:val="6"/>
        </w:numPr>
        <w:ind w:left="2127"/>
        <w:rPr>
          <w:sz w:val="22"/>
          <w:szCs w:val="22"/>
        </w:rPr>
      </w:pPr>
      <w:proofErr w:type="spellStart"/>
      <w:r w:rsidRPr="00AA0A12">
        <w:rPr>
          <w:sz w:val="22"/>
          <w:szCs w:val="22"/>
        </w:rPr>
        <w:t>Desloratadine</w:t>
      </w:r>
      <w:proofErr w:type="spellEnd"/>
      <w:r w:rsidRPr="00AA0A12">
        <w:rPr>
          <w:sz w:val="22"/>
          <w:szCs w:val="22"/>
        </w:rPr>
        <w:t xml:space="preserve"> (</w:t>
      </w:r>
      <w:proofErr w:type="spellStart"/>
      <w:r w:rsidRPr="00AA0A12">
        <w:rPr>
          <w:sz w:val="22"/>
          <w:szCs w:val="22"/>
        </w:rPr>
        <w:t>Aerius</w:t>
      </w:r>
      <w:proofErr w:type="spellEnd"/>
      <w:r w:rsidRPr="00AA0A12">
        <w:rPr>
          <w:sz w:val="22"/>
          <w:szCs w:val="22"/>
        </w:rPr>
        <w:t>®)</w:t>
      </w:r>
      <w:r>
        <w:rPr>
          <w:sz w:val="22"/>
          <w:szCs w:val="22"/>
        </w:rPr>
        <w:t>.</w:t>
      </w:r>
    </w:p>
    <w:p w14:paraId="7305C076" w14:textId="27B27981" w:rsidR="00302622" w:rsidRPr="00302622" w:rsidRDefault="006A5FBB" w:rsidP="00302622">
      <w:pPr>
        <w:pStyle w:val="Paragraphedeliste"/>
        <w:numPr>
          <w:ilvl w:val="3"/>
          <w:numId w:val="6"/>
        </w:numPr>
        <w:ind w:left="2127"/>
      </w:pPr>
      <w:proofErr w:type="spellStart"/>
      <w:r w:rsidRPr="00AA0A12">
        <w:rPr>
          <w:sz w:val="22"/>
          <w:szCs w:val="22"/>
        </w:rPr>
        <w:t>Fexofé</w:t>
      </w:r>
      <w:r w:rsidRPr="00E46BFB">
        <w:rPr>
          <w:sz w:val="22"/>
          <w:szCs w:val="22"/>
        </w:rPr>
        <w:t>nadine</w:t>
      </w:r>
      <w:proofErr w:type="spellEnd"/>
      <w:r w:rsidRPr="00E46BFB">
        <w:rPr>
          <w:sz w:val="22"/>
          <w:szCs w:val="22"/>
        </w:rPr>
        <w:t xml:space="preserve"> (</w:t>
      </w:r>
      <w:proofErr w:type="spellStart"/>
      <w:r w:rsidRPr="00E46BFB">
        <w:rPr>
          <w:sz w:val="22"/>
          <w:szCs w:val="22"/>
        </w:rPr>
        <w:t>Telfast</w:t>
      </w:r>
      <w:proofErr w:type="spellEnd"/>
      <w:r>
        <w:rPr>
          <w:sz w:val="22"/>
          <w:szCs w:val="22"/>
        </w:rPr>
        <w:t>®)</w:t>
      </w:r>
    </w:p>
    <w:p w14:paraId="2332774C" w14:textId="6CF55DAE" w:rsidR="00302622" w:rsidRPr="00302622" w:rsidRDefault="00302622" w:rsidP="00302622">
      <w:pPr>
        <w:pStyle w:val="Paragraphedeliste"/>
        <w:numPr>
          <w:ilvl w:val="3"/>
          <w:numId w:val="6"/>
        </w:numPr>
        <w:ind w:left="2127"/>
        <w:rPr>
          <w:sz w:val="22"/>
          <w:szCs w:val="22"/>
        </w:rPr>
      </w:pPr>
      <w:proofErr w:type="spellStart"/>
      <w:r>
        <w:rPr>
          <w:sz w:val="22"/>
          <w:szCs w:val="22"/>
        </w:rPr>
        <w:t>R</w:t>
      </w:r>
      <w:r w:rsidRPr="00302622">
        <w:rPr>
          <w:sz w:val="22"/>
          <w:szCs w:val="22"/>
        </w:rPr>
        <w:t>upatadine</w:t>
      </w:r>
      <w:proofErr w:type="spellEnd"/>
      <w:r w:rsidRPr="00302622">
        <w:rPr>
          <w:sz w:val="22"/>
          <w:szCs w:val="22"/>
        </w:rPr>
        <w:t>.</w:t>
      </w:r>
    </w:p>
    <w:p w14:paraId="5A1689C3" w14:textId="77777777" w:rsidR="006A5FBB" w:rsidRPr="006A5FBB" w:rsidRDefault="006A5FBB" w:rsidP="006A5FBB">
      <w:pPr>
        <w:pStyle w:val="Paragraphedeliste"/>
        <w:numPr>
          <w:ilvl w:val="1"/>
          <w:numId w:val="1"/>
        </w:numPr>
        <w:rPr>
          <w:color w:val="000000" w:themeColor="text1"/>
        </w:rPr>
      </w:pPr>
      <w:r>
        <w:t>En cas d’échec des abti-H1</w:t>
      </w:r>
      <w:r>
        <w:sym w:font="Wingdings" w:char="F0E0"/>
      </w:r>
      <w:r>
        <w:t xml:space="preserve"> </w:t>
      </w:r>
      <w:r w:rsidRPr="007A3AAF">
        <w:rPr>
          <w:color w:val="000000" w:themeColor="text1"/>
        </w:rPr>
        <w:t xml:space="preserve">AC anti </w:t>
      </w:r>
      <w:r>
        <w:t xml:space="preserve">IgE : </w:t>
      </w:r>
      <w:proofErr w:type="spellStart"/>
      <w:r>
        <w:t>Omalizumab</w:t>
      </w:r>
      <w:proofErr w:type="spellEnd"/>
      <w:r>
        <w:t xml:space="preserve"> (</w:t>
      </w:r>
      <w:proofErr w:type="spellStart"/>
      <w:r>
        <w:t>Xolair</w:t>
      </w:r>
      <w:proofErr w:type="spellEnd"/>
      <w:r>
        <w:t xml:space="preserve">®) </w:t>
      </w:r>
      <w:r w:rsidRPr="006A5FBB">
        <w:rPr>
          <w:color w:val="FF0000"/>
        </w:rPr>
        <w:t>dès 12 ans</w:t>
      </w:r>
      <w:r>
        <w:rPr>
          <w:color w:val="FF0000"/>
        </w:rPr>
        <w:t> :</w:t>
      </w:r>
    </w:p>
    <w:p w14:paraId="2DAFD7D5" w14:textId="77777777" w:rsidR="006A5FBB" w:rsidRPr="006A5FBB" w:rsidRDefault="006A5FBB" w:rsidP="006A5FBB">
      <w:pPr>
        <w:pStyle w:val="Paragraphedeliste"/>
        <w:numPr>
          <w:ilvl w:val="2"/>
          <w:numId w:val="1"/>
        </w:numPr>
        <w:rPr>
          <w:color w:val="000000" w:themeColor="text1"/>
        </w:rPr>
      </w:pPr>
      <w:r>
        <w:t>300 UI</w:t>
      </w:r>
      <w:r w:rsidRPr="006A5FBB">
        <w:rPr>
          <w:color w:val="FF0000"/>
        </w:rPr>
        <w:t xml:space="preserve"> </w:t>
      </w:r>
      <w:r>
        <w:t>SC toutes les 4 semaines.</w:t>
      </w:r>
    </w:p>
    <w:p w14:paraId="4DF7BFA0" w14:textId="77777777" w:rsidR="006A5FBB" w:rsidRPr="00792912" w:rsidRDefault="006A5FBB" w:rsidP="006A5FBB">
      <w:pPr>
        <w:pStyle w:val="Paragraphedeliste"/>
        <w:numPr>
          <w:ilvl w:val="2"/>
          <w:numId w:val="1"/>
        </w:numPr>
        <w:rPr>
          <w:color w:val="000000" w:themeColor="text1"/>
        </w:rPr>
      </w:pPr>
      <w:r>
        <w:t>Essayer 600UI toutes les 2 semaines avant de décréter un échec de traitement</w:t>
      </w:r>
    </w:p>
    <w:p w14:paraId="2CCBF88C" w14:textId="33314017" w:rsidR="006A5FBB" w:rsidRPr="006D2248" w:rsidRDefault="006A5FBB" w:rsidP="006D2248">
      <w:pPr>
        <w:pStyle w:val="Paragraphedeliste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Ciclosporine en palier 3 si échec du </w:t>
      </w:r>
      <w:proofErr w:type="spellStart"/>
      <w:r>
        <w:rPr>
          <w:color w:val="000000" w:themeColor="text1"/>
        </w:rPr>
        <w:t>Xolair</w:t>
      </w:r>
      <w:proofErr w:type="spellEnd"/>
      <w:r>
        <w:rPr>
          <w:color w:val="000000" w:themeColor="text1"/>
        </w:rPr>
        <w:t xml:space="preserve">® et urticaire </w:t>
      </w:r>
      <w:r w:rsidRPr="006A5FBB">
        <w:rPr>
          <w:color w:val="FF0000"/>
        </w:rPr>
        <w:t>sévère </w:t>
      </w:r>
      <w:r w:rsidR="006D2248">
        <w:rPr>
          <w:color w:val="000000" w:themeColor="text1"/>
        </w:rPr>
        <w:t xml:space="preserve">à </w:t>
      </w:r>
      <w:r w:rsidRPr="006D2248">
        <w:rPr>
          <w:sz w:val="22"/>
          <w:szCs w:val="22"/>
        </w:rPr>
        <w:t>3,5 à5 mg/kg par jour.</w:t>
      </w:r>
    </w:p>
    <w:p w14:paraId="03748C33" w14:textId="77777777" w:rsidR="006D2248" w:rsidRPr="006D2248" w:rsidRDefault="006D2248" w:rsidP="006D2248">
      <w:pPr>
        <w:pStyle w:val="Paragraphedeliste"/>
        <w:numPr>
          <w:ilvl w:val="1"/>
          <w:numId w:val="1"/>
        </w:numPr>
        <w:rPr>
          <w:color w:val="000000" w:themeColor="text1"/>
        </w:rPr>
      </w:pPr>
    </w:p>
    <w:p w14:paraId="1F2085A3" w14:textId="64901AE6" w:rsidR="006A5FBB" w:rsidRDefault="006A5FBB" w:rsidP="006A5FBB">
      <w:pPr>
        <w:ind w:left="1080"/>
      </w:pPr>
    </w:p>
    <w:p w14:paraId="21E96A37" w14:textId="544F5C56" w:rsidR="006D0E7A" w:rsidRDefault="00E46BFB" w:rsidP="00E46BFB">
      <w:pPr>
        <w:pStyle w:val="Paragraphedeliste"/>
        <w:ind w:left="0"/>
        <w:jc w:val="center"/>
      </w:pPr>
      <w:r w:rsidRPr="00E46BFB">
        <w:rPr>
          <w:noProof/>
          <w:lang w:eastAsia="fr-CH"/>
        </w:rPr>
        <w:lastRenderedPageBreak/>
        <w:drawing>
          <wp:inline distT="0" distB="0" distL="0" distR="0" wp14:anchorId="4313431F" wp14:editId="1793DB18">
            <wp:extent cx="4496499" cy="502138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7252" cy="507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3BB16" w14:textId="6515C714" w:rsidR="00842365" w:rsidRDefault="00842365" w:rsidP="00E46BFB">
      <w:pPr>
        <w:pStyle w:val="Paragraphedeliste"/>
        <w:numPr>
          <w:ilvl w:val="1"/>
          <w:numId w:val="2"/>
        </w:numPr>
        <w:ind w:left="426"/>
      </w:pPr>
      <w:proofErr w:type="spellStart"/>
      <w:r>
        <w:t>Ré-évaluer</w:t>
      </w:r>
      <w:proofErr w:type="spellEnd"/>
      <w:r>
        <w:t xml:space="preserve"> </w:t>
      </w:r>
      <w:r w:rsidR="00055597">
        <w:t xml:space="preserve">et adapter le traitement </w:t>
      </w:r>
      <w:r>
        <w:t>tous les 3-6 mois</w:t>
      </w:r>
    </w:p>
    <w:p w14:paraId="1F774107" w14:textId="7E118341" w:rsidR="00663246" w:rsidRDefault="00663246" w:rsidP="006D0E7A">
      <w:pPr>
        <w:pStyle w:val="Paragraphedeliste"/>
        <w:ind w:left="0"/>
        <w:jc w:val="center"/>
      </w:pPr>
      <w:r w:rsidRPr="00663246">
        <w:rPr>
          <w:noProof/>
          <w:lang w:eastAsia="fr-CH"/>
        </w:rPr>
        <w:drawing>
          <wp:inline distT="0" distB="0" distL="0" distR="0" wp14:anchorId="00E560F5" wp14:editId="3BF26696">
            <wp:extent cx="4311942" cy="324323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1133" cy="326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61082" w14:textId="12E70077" w:rsidR="00F00C5E" w:rsidRPr="00F00C5E" w:rsidRDefault="00663246" w:rsidP="006552E0">
      <w:pPr>
        <w:pStyle w:val="Paragraphedeliste"/>
        <w:ind w:left="0"/>
        <w:jc w:val="center"/>
      </w:pPr>
      <w:r w:rsidRPr="00663246">
        <w:rPr>
          <w:noProof/>
          <w:lang w:eastAsia="fr-CH"/>
        </w:rPr>
        <w:drawing>
          <wp:inline distT="0" distB="0" distL="0" distR="0" wp14:anchorId="243E1575" wp14:editId="2C6C069C">
            <wp:extent cx="4286263" cy="15696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954" cy="160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56C6" w14:textId="72C1D430" w:rsidR="00F97D82" w:rsidRDefault="00144872" w:rsidP="00F97D82">
      <w:pPr>
        <w:jc w:val="center"/>
        <w:rPr>
          <w:sz w:val="44"/>
          <w:szCs w:val="44"/>
        </w:rPr>
      </w:pPr>
      <w:r w:rsidRPr="00F97D82">
        <w:rPr>
          <w:b/>
          <w:bCs/>
          <w:sz w:val="44"/>
          <w:szCs w:val="44"/>
        </w:rPr>
        <w:lastRenderedPageBreak/>
        <w:t>LES URTICAIRES CHRONIQUES</w:t>
      </w:r>
    </w:p>
    <w:p w14:paraId="5B34404E" w14:textId="591B0191" w:rsidR="00144872" w:rsidRPr="00F97D82" w:rsidRDefault="007C762B" w:rsidP="00F97D82">
      <w:pPr>
        <w:jc w:val="center"/>
      </w:pPr>
      <w:r w:rsidRPr="00F97D82">
        <w:t>(</w:t>
      </w:r>
      <w:proofErr w:type="gramStart"/>
      <w:r w:rsidRPr="00F97D82">
        <w:t>dure</w:t>
      </w:r>
      <w:r w:rsidR="00F97D82">
        <w:t>nt</w:t>
      </w:r>
      <w:proofErr w:type="gramEnd"/>
      <w:r w:rsidRPr="00F97D82">
        <w:t xml:space="preserve"> </w:t>
      </w:r>
      <w:r w:rsidR="00144872" w:rsidRPr="00F97D82">
        <w:t>&gt;</w:t>
      </w:r>
      <w:r w:rsidR="00BD78EA" w:rsidRPr="00F97D82">
        <w:t xml:space="preserve"> 6 sem</w:t>
      </w:r>
      <w:r w:rsidRPr="00F97D82">
        <w:t>aines)</w:t>
      </w:r>
    </w:p>
    <w:p w14:paraId="10F62156" w14:textId="77777777" w:rsidR="00F97D82" w:rsidRPr="00F97D82" w:rsidRDefault="00F97D82" w:rsidP="00F97D82">
      <w:pPr>
        <w:jc w:val="center"/>
        <w:rPr>
          <w:sz w:val="44"/>
          <w:szCs w:val="44"/>
        </w:rPr>
      </w:pPr>
    </w:p>
    <w:p w14:paraId="0DCFF2B6" w14:textId="77777777" w:rsidR="007C762B" w:rsidRDefault="007C762B" w:rsidP="00F00C5E">
      <w:pPr>
        <w:pStyle w:val="Paragraphedeliste"/>
        <w:numPr>
          <w:ilvl w:val="0"/>
          <w:numId w:val="2"/>
        </w:numPr>
      </w:pPr>
      <w:r>
        <w:t>Le dermographisme est sa forme la plus fréquente.</w:t>
      </w:r>
    </w:p>
    <w:p w14:paraId="3F2A68D5" w14:textId="509BDA32" w:rsidR="00207E7A" w:rsidRDefault="00144872" w:rsidP="00F00C5E">
      <w:pPr>
        <w:pStyle w:val="Paragraphedeliste"/>
        <w:numPr>
          <w:ilvl w:val="0"/>
          <w:numId w:val="2"/>
        </w:numPr>
      </w:pPr>
      <w:r>
        <w:t>S</w:t>
      </w:r>
      <w:r w:rsidR="008C2D6D">
        <w:t xml:space="preserve">ouvent dû à une </w:t>
      </w:r>
      <w:r w:rsidR="008C2D6D" w:rsidRPr="007C762B">
        <w:rPr>
          <w:b/>
        </w:rPr>
        <w:t>cause physique</w:t>
      </w:r>
      <w:r w:rsidR="007C762B">
        <w:rPr>
          <w:b/>
        </w:rPr>
        <w:t>, infectieuse ou immune</w:t>
      </w:r>
      <w:r w:rsidR="00207E7A">
        <w:t>.</w:t>
      </w:r>
      <w:r w:rsidR="008C2D6D">
        <w:t xml:space="preserve"> </w:t>
      </w:r>
    </w:p>
    <w:p w14:paraId="64638739" w14:textId="77777777" w:rsidR="00207E7A" w:rsidRDefault="00207E7A" w:rsidP="00207E7A">
      <w:pPr>
        <w:pStyle w:val="Paragraphedeliste"/>
        <w:numPr>
          <w:ilvl w:val="1"/>
          <w:numId w:val="1"/>
        </w:numPr>
      </w:pPr>
      <w:r>
        <w:t>S</w:t>
      </w:r>
      <w:r w:rsidR="008C2D6D">
        <w:t xml:space="preserve">oleil, le froid, les vibrations, la pression. </w:t>
      </w:r>
    </w:p>
    <w:p w14:paraId="29F2E175" w14:textId="77777777" w:rsidR="00207E7A" w:rsidRDefault="008C2D6D" w:rsidP="00207E7A">
      <w:pPr>
        <w:pStyle w:val="Paragraphedeliste"/>
        <w:numPr>
          <w:ilvl w:val="1"/>
          <w:numId w:val="1"/>
        </w:numPr>
      </w:pPr>
      <w:r>
        <w:t>Les urticaires cholinergiques sont déclenché</w:t>
      </w:r>
      <w:r w:rsidR="00D54320">
        <w:t>e</w:t>
      </w:r>
      <w:r>
        <w:t>s</w:t>
      </w:r>
      <w:r w:rsidR="00393D40">
        <w:t xml:space="preserve"> </w:t>
      </w:r>
      <w:r>
        <w:t xml:space="preserve">par l’effort physique, </w:t>
      </w:r>
      <w:r w:rsidR="00F26E28">
        <w:t xml:space="preserve">la transpiration, </w:t>
      </w:r>
      <w:r>
        <w:t>l</w:t>
      </w:r>
      <w:r w:rsidR="00F26E28">
        <w:t xml:space="preserve">es </w:t>
      </w:r>
      <w:r>
        <w:t>douche</w:t>
      </w:r>
      <w:r w:rsidR="00F26E28">
        <w:t>s chaudes.</w:t>
      </w:r>
      <w:r w:rsidR="00393D40">
        <w:t xml:space="preserve"> </w:t>
      </w:r>
    </w:p>
    <w:p w14:paraId="32CFE2F0" w14:textId="77777777" w:rsidR="007C762B" w:rsidRDefault="00393D40" w:rsidP="007C762B">
      <w:pPr>
        <w:pStyle w:val="Paragraphedeliste"/>
        <w:numPr>
          <w:ilvl w:val="1"/>
          <w:numId w:val="1"/>
        </w:numPr>
      </w:pPr>
      <w:r>
        <w:t xml:space="preserve">Urticaires </w:t>
      </w:r>
      <w:r w:rsidR="00D54320">
        <w:t>péri</w:t>
      </w:r>
      <w:r>
        <w:t xml:space="preserve"> infectieux :</w:t>
      </w:r>
      <w:r w:rsidR="007C762B">
        <w:t xml:space="preserve"> </w:t>
      </w:r>
      <w:proofErr w:type="spellStart"/>
      <w:r>
        <w:t>H.pylori</w:t>
      </w:r>
      <w:proofErr w:type="spellEnd"/>
      <w:r>
        <w:t>, EBV, CMV, HBV</w:t>
      </w:r>
      <w:proofErr w:type="gramStart"/>
      <w:r>
        <w:t>,HCV</w:t>
      </w:r>
      <w:proofErr w:type="gramEnd"/>
      <w:r w:rsidR="00D54320">
        <w:t xml:space="preserve">. </w:t>
      </w:r>
    </w:p>
    <w:p w14:paraId="7750178D" w14:textId="77777777" w:rsidR="007C762B" w:rsidRDefault="007C762B" w:rsidP="007C762B">
      <w:pPr>
        <w:pStyle w:val="Paragraphedeliste"/>
        <w:numPr>
          <w:ilvl w:val="1"/>
          <w:numId w:val="1"/>
        </w:numPr>
      </w:pPr>
      <w:r>
        <w:t>Les causes auto-immunes sont aussi fréquentes avec :</w:t>
      </w:r>
    </w:p>
    <w:p w14:paraId="5B74A560" w14:textId="7FA32135" w:rsidR="007C762B" w:rsidRDefault="007C762B" w:rsidP="007C762B">
      <w:pPr>
        <w:pStyle w:val="Paragraphedeliste"/>
        <w:numPr>
          <w:ilvl w:val="2"/>
          <w:numId w:val="1"/>
        </w:numPr>
      </w:pPr>
      <w:r>
        <w:t>Atteinte thyroïdienne</w:t>
      </w:r>
    </w:p>
    <w:p w14:paraId="1643E9A0" w14:textId="1F8206FF" w:rsidR="007C762B" w:rsidRDefault="007C762B" w:rsidP="007C762B">
      <w:pPr>
        <w:pStyle w:val="Paragraphedeliste"/>
        <w:numPr>
          <w:ilvl w:val="2"/>
          <w:numId w:val="1"/>
        </w:numPr>
      </w:pPr>
      <w:r>
        <w:t>Diabète</w:t>
      </w:r>
    </w:p>
    <w:p w14:paraId="7F3BB04B" w14:textId="77777777" w:rsidR="007C762B" w:rsidRDefault="007C762B" w:rsidP="007C762B">
      <w:pPr>
        <w:pStyle w:val="Paragraphedeliste"/>
        <w:numPr>
          <w:ilvl w:val="2"/>
          <w:numId w:val="1"/>
        </w:numPr>
      </w:pPr>
      <w:proofErr w:type="spellStart"/>
      <w:r>
        <w:t>Sjögren</w:t>
      </w:r>
      <w:proofErr w:type="spellEnd"/>
    </w:p>
    <w:p w14:paraId="66F1CE11" w14:textId="2FE72E93" w:rsidR="007C762B" w:rsidRDefault="007C762B" w:rsidP="007C762B">
      <w:pPr>
        <w:pStyle w:val="Paragraphedeliste"/>
        <w:numPr>
          <w:ilvl w:val="2"/>
          <w:numId w:val="1"/>
        </w:numPr>
      </w:pPr>
      <w:r>
        <w:t>Lupus</w:t>
      </w:r>
    </w:p>
    <w:p w14:paraId="3CD81745" w14:textId="77777777" w:rsidR="007C762B" w:rsidRDefault="007C762B" w:rsidP="007C762B">
      <w:pPr>
        <w:pStyle w:val="Paragraphedeliste"/>
        <w:numPr>
          <w:ilvl w:val="2"/>
          <w:numId w:val="1"/>
        </w:numPr>
      </w:pPr>
      <w:r>
        <w:t>ARJ</w:t>
      </w:r>
    </w:p>
    <w:p w14:paraId="66750789" w14:textId="77777777" w:rsidR="007C762B" w:rsidRDefault="007C762B" w:rsidP="007C762B">
      <w:pPr>
        <w:pStyle w:val="Paragraphedeliste"/>
        <w:numPr>
          <w:ilvl w:val="2"/>
          <w:numId w:val="1"/>
        </w:numPr>
      </w:pPr>
      <w:proofErr w:type="spellStart"/>
      <w:r>
        <w:t>Cryoglobulinémies</w:t>
      </w:r>
      <w:proofErr w:type="spellEnd"/>
      <w:r>
        <w:t xml:space="preserve"> (</w:t>
      </w:r>
      <w:proofErr w:type="spellStart"/>
      <w:r>
        <w:t>vasculites</w:t>
      </w:r>
      <w:proofErr w:type="spellEnd"/>
      <w:r>
        <w:t xml:space="preserve"> à AC déclenchés par le froid retrouvés dans les infections en particulier à HCV)</w:t>
      </w:r>
    </w:p>
    <w:p w14:paraId="5FE22FC7" w14:textId="32AF06C2" w:rsidR="007C762B" w:rsidRDefault="00DB67C5" w:rsidP="007C762B">
      <w:pPr>
        <w:pStyle w:val="Paragraphedeliste"/>
        <w:numPr>
          <w:ilvl w:val="2"/>
          <w:numId w:val="1"/>
        </w:numPr>
      </w:pPr>
      <w:r>
        <w:t xml:space="preserve">Une </w:t>
      </w:r>
      <w:r w:rsidR="00D54320">
        <w:t xml:space="preserve">urticaire </w:t>
      </w:r>
      <w:r>
        <w:t xml:space="preserve">qui </w:t>
      </w:r>
      <w:r w:rsidR="00D54320">
        <w:t xml:space="preserve">dure &gt; 24h, avec peau blanche ou </w:t>
      </w:r>
      <w:r>
        <w:t xml:space="preserve">en aspect de bleu, palpable suggère une </w:t>
      </w:r>
      <w:proofErr w:type="spellStart"/>
      <w:r>
        <w:t>vasculite</w:t>
      </w:r>
      <w:proofErr w:type="spellEnd"/>
      <w:r>
        <w:t>.</w:t>
      </w:r>
      <w:r w:rsidR="001601FF">
        <w:t xml:space="preserve"> </w:t>
      </w:r>
    </w:p>
    <w:p w14:paraId="4E4D5B3D" w14:textId="77777777" w:rsidR="00DF74FC" w:rsidRPr="00F12E44" w:rsidRDefault="00F00C5E" w:rsidP="00F00C5E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F00C5E">
        <w:t xml:space="preserve">Traitement </w:t>
      </w:r>
    </w:p>
    <w:p w14:paraId="2D48A45D" w14:textId="41A569AE" w:rsidR="00F00C5E" w:rsidRPr="007A3AAF" w:rsidRDefault="00DF74FC" w:rsidP="00DF74FC">
      <w:pPr>
        <w:pStyle w:val="Paragraphedeliste"/>
        <w:numPr>
          <w:ilvl w:val="1"/>
          <w:numId w:val="1"/>
        </w:numPr>
        <w:rPr>
          <w:color w:val="000000" w:themeColor="text1"/>
        </w:rPr>
      </w:pPr>
      <w:r w:rsidRPr="00F12E44">
        <w:rPr>
          <w:b/>
          <w:bCs/>
          <w:color w:val="000000" w:themeColor="text1"/>
        </w:rPr>
        <w:t>D</w:t>
      </w:r>
      <w:r w:rsidR="00F00C5E" w:rsidRPr="00F12E44">
        <w:rPr>
          <w:b/>
          <w:bCs/>
        </w:rPr>
        <w:t>o</w:t>
      </w:r>
      <w:r w:rsidR="00F00C5E" w:rsidRPr="00C32298">
        <w:rPr>
          <w:b/>
          <w:bCs/>
        </w:rPr>
        <w:t>se</w:t>
      </w:r>
      <w:r w:rsidR="00C32298" w:rsidRPr="00C32298">
        <w:rPr>
          <w:b/>
          <w:bCs/>
        </w:rPr>
        <w:t>s</w:t>
      </w:r>
      <w:r w:rsidR="00F00C5E" w:rsidRPr="00C32298">
        <w:rPr>
          <w:b/>
          <w:bCs/>
        </w:rPr>
        <w:t xml:space="preserve"> </w:t>
      </w:r>
      <w:r w:rsidR="007C762B">
        <w:rPr>
          <w:b/>
          <w:bCs/>
        </w:rPr>
        <w:t xml:space="preserve">anti-H1 </w:t>
      </w:r>
      <w:r w:rsidR="00F00C5E" w:rsidRPr="00C32298">
        <w:rPr>
          <w:b/>
          <w:bCs/>
        </w:rPr>
        <w:t>ad 4</w:t>
      </w:r>
      <w:r w:rsidR="00C32298">
        <w:rPr>
          <w:b/>
          <w:bCs/>
        </w:rPr>
        <w:t xml:space="preserve"> </w:t>
      </w:r>
      <w:r w:rsidR="007C762B">
        <w:rPr>
          <w:b/>
          <w:bCs/>
        </w:rPr>
        <w:t>x</w:t>
      </w:r>
      <w:r w:rsidR="00F00C5E" w:rsidRPr="00C32298">
        <w:t xml:space="preserve"> </w:t>
      </w:r>
      <w:r w:rsidR="00F00C5E">
        <w:t>celles nécessaire dans urticaire aigu</w:t>
      </w:r>
      <w:r w:rsidR="00332346">
        <w:t xml:space="preserve"> </w:t>
      </w:r>
      <w:r w:rsidR="00332346">
        <w:sym w:font="Wingdings" w:char="F0E0"/>
      </w:r>
      <w:r w:rsidR="00332346">
        <w:t xml:space="preserve"> </w:t>
      </w:r>
      <w:r w:rsidR="00332346" w:rsidRPr="00332346">
        <w:rPr>
          <w:color w:val="FF0000"/>
        </w:rPr>
        <w:t xml:space="preserve">EI à prévoir sont la </w:t>
      </w:r>
      <w:r w:rsidR="00630390" w:rsidRPr="00332346">
        <w:rPr>
          <w:color w:val="FF0000"/>
        </w:rPr>
        <w:t>somnolence</w:t>
      </w:r>
      <w:r w:rsidR="00332346" w:rsidRPr="00332346">
        <w:rPr>
          <w:color w:val="FF0000"/>
        </w:rPr>
        <w:t>, la bouche sèche et la constipation</w:t>
      </w:r>
    </w:p>
    <w:p w14:paraId="0406D97E" w14:textId="68ED3F7F" w:rsidR="00DF74FC" w:rsidRPr="00792912" w:rsidRDefault="00DF74FC" w:rsidP="00DF74FC">
      <w:pPr>
        <w:pStyle w:val="Paragraphedeliste"/>
        <w:numPr>
          <w:ilvl w:val="1"/>
          <w:numId w:val="1"/>
        </w:numPr>
        <w:rPr>
          <w:color w:val="000000" w:themeColor="text1"/>
        </w:rPr>
      </w:pPr>
      <w:r w:rsidRPr="007A3AAF">
        <w:rPr>
          <w:color w:val="000000" w:themeColor="text1"/>
        </w:rPr>
        <w:t xml:space="preserve">AC anti </w:t>
      </w:r>
      <w:r>
        <w:t xml:space="preserve">IgE : </w:t>
      </w:r>
      <w:proofErr w:type="spellStart"/>
      <w:r>
        <w:t>Omalizumab</w:t>
      </w:r>
      <w:proofErr w:type="spellEnd"/>
      <w:r>
        <w:t xml:space="preserve"> </w:t>
      </w:r>
      <w:r w:rsidR="0001410A">
        <w:t>(</w:t>
      </w:r>
      <w:proofErr w:type="spellStart"/>
      <w:r w:rsidR="0001410A">
        <w:t>Xolair</w:t>
      </w:r>
      <w:proofErr w:type="spellEnd"/>
      <w:r w:rsidR="0001410A">
        <w:t xml:space="preserve">®) </w:t>
      </w:r>
      <w:r>
        <w:t>dès 12 ans</w:t>
      </w:r>
      <w:r w:rsidR="00D6198A">
        <w:t xml:space="preserve"> SC toutes les 4 sem.</w:t>
      </w:r>
    </w:p>
    <w:p w14:paraId="71D1BB10" w14:textId="3033BD82" w:rsidR="00792912" w:rsidRDefault="00C37779" w:rsidP="00792912">
      <w:pPr>
        <w:pStyle w:val="Paragraphedeliste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pict w14:anchorId="70316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15pt;height:285.35pt">
            <v:imagedata r:id="rId9" o:title="figure_3_-_les_trois_paliers_"/>
          </v:shape>
        </w:pict>
      </w:r>
    </w:p>
    <w:p w14:paraId="132AE5F8" w14:textId="1B8E927C" w:rsidR="00792912" w:rsidRPr="00C64E6F" w:rsidRDefault="00C64E6F" w:rsidP="00C64E6F">
      <w:pPr>
        <w:pStyle w:val="Paragraphedeliste"/>
        <w:ind w:left="4272" w:firstLine="684"/>
        <w:rPr>
          <w:i/>
          <w:color w:val="000000" w:themeColor="text1"/>
        </w:rPr>
      </w:pPr>
      <w:r>
        <w:rPr>
          <w:i/>
          <w:color w:val="000000" w:themeColor="text1"/>
        </w:rPr>
        <w:t>Dermatologie Pratique</w:t>
      </w:r>
      <w:r w:rsidR="00792912" w:rsidRPr="00C64E6F">
        <w:rPr>
          <w:i/>
          <w:color w:val="000000" w:themeColor="text1"/>
        </w:rPr>
        <w:t>, nov. 2022</w:t>
      </w:r>
    </w:p>
    <w:p w14:paraId="19393CE7" w14:textId="77777777" w:rsidR="00144872" w:rsidRDefault="00144872" w:rsidP="00F00C5E">
      <w:pPr>
        <w:ind w:left="360"/>
        <w:rPr>
          <w:color w:val="000000" w:themeColor="text1"/>
        </w:rPr>
      </w:pPr>
    </w:p>
    <w:p w14:paraId="2DA0A67B" w14:textId="6C93113F" w:rsidR="00144872" w:rsidRDefault="00144872" w:rsidP="00144872">
      <w:pPr>
        <w:ind w:left="360"/>
        <w:rPr>
          <w:b/>
          <w:bCs/>
          <w:color w:val="000000" w:themeColor="text1"/>
        </w:rPr>
      </w:pPr>
      <w:r w:rsidRPr="00144872">
        <w:rPr>
          <w:b/>
          <w:bCs/>
          <w:color w:val="000000" w:themeColor="text1"/>
        </w:rPr>
        <w:t xml:space="preserve">LES </w:t>
      </w:r>
      <w:r>
        <w:rPr>
          <w:b/>
          <w:bCs/>
          <w:color w:val="000000" w:themeColor="text1"/>
        </w:rPr>
        <w:t>A</w:t>
      </w:r>
      <w:r w:rsidRPr="00144872">
        <w:rPr>
          <w:b/>
          <w:bCs/>
          <w:color w:val="000000" w:themeColor="text1"/>
        </w:rPr>
        <w:t>NGIOEDÈMES</w:t>
      </w:r>
    </w:p>
    <w:p w14:paraId="12953E8B" w14:textId="28CEBBF7" w:rsidR="00144872" w:rsidRPr="00144872" w:rsidRDefault="00144872" w:rsidP="00144872">
      <w:pPr>
        <w:pStyle w:val="Paragraphedeliste"/>
        <w:numPr>
          <w:ilvl w:val="0"/>
          <w:numId w:val="3"/>
        </w:numPr>
        <w:rPr>
          <w:color w:val="FF0000"/>
        </w:rPr>
      </w:pPr>
      <w:r w:rsidRPr="00144872">
        <w:rPr>
          <w:color w:val="FF0000"/>
        </w:rPr>
        <w:t>Non prurigineux</w:t>
      </w:r>
    </w:p>
    <w:p w14:paraId="27FAE0CE" w14:textId="04AAEE5F" w:rsidR="00144872" w:rsidRDefault="00144872" w:rsidP="00144872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44872">
        <w:rPr>
          <w:color w:val="000000" w:themeColor="text1"/>
        </w:rPr>
        <w:t>Asymétriques</w:t>
      </w:r>
    </w:p>
    <w:p w14:paraId="404B02F3" w14:textId="475B3018" w:rsidR="00843435" w:rsidRDefault="00843435" w:rsidP="00144872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Idiopathique le plus souvent</w:t>
      </w:r>
    </w:p>
    <w:p w14:paraId="2C876D42" w14:textId="4B456546" w:rsidR="00075254" w:rsidRPr="00144872" w:rsidRDefault="00075254" w:rsidP="00144872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Associé à urticaire dans 40% des cas</w:t>
      </w:r>
      <w:r w:rsidR="00F82786">
        <w:rPr>
          <w:color w:val="000000" w:themeColor="text1"/>
        </w:rPr>
        <w:t xml:space="preserve"> avec les même facteurs déclenchants</w:t>
      </w:r>
      <w:r w:rsidR="002B27C0">
        <w:rPr>
          <w:color w:val="000000" w:themeColor="text1"/>
        </w:rPr>
        <w:t xml:space="preserve"> (virus</w:t>
      </w:r>
      <w:r w:rsidR="00F24A08">
        <w:rPr>
          <w:color w:val="000000" w:themeColor="text1"/>
        </w:rPr>
        <w:t xml:space="preserve"> (HSV, EBV, CMV, hépatites virus)</w:t>
      </w:r>
      <w:r w:rsidR="002B27C0">
        <w:rPr>
          <w:color w:val="000000" w:themeColor="text1"/>
        </w:rPr>
        <w:t>, médicaments, insectes, nourriture, …)</w:t>
      </w:r>
    </w:p>
    <w:p w14:paraId="412AF7FA" w14:textId="46B284BE" w:rsidR="00144872" w:rsidRPr="00144872" w:rsidRDefault="00144872" w:rsidP="00144872">
      <w:pPr>
        <w:pStyle w:val="Paragraphedeliste"/>
        <w:numPr>
          <w:ilvl w:val="0"/>
          <w:numId w:val="3"/>
        </w:numPr>
        <w:rPr>
          <w:color w:val="000000" w:themeColor="text1"/>
        </w:rPr>
      </w:pPr>
      <w:proofErr w:type="spellStart"/>
      <w:r w:rsidRPr="00144872">
        <w:rPr>
          <w:color w:val="000000" w:themeColor="text1"/>
        </w:rPr>
        <w:t>Extrêmité</w:t>
      </w:r>
      <w:r>
        <w:rPr>
          <w:color w:val="000000" w:themeColor="text1"/>
        </w:rPr>
        <w:t>s</w:t>
      </w:r>
      <w:proofErr w:type="spellEnd"/>
      <w:r w:rsidRPr="00144872">
        <w:rPr>
          <w:color w:val="000000" w:themeColor="text1"/>
        </w:rPr>
        <w:t xml:space="preserve">, abdomen gorge (CAVE </w:t>
      </w:r>
      <w:proofErr w:type="spellStart"/>
      <w:r w:rsidRPr="00144872">
        <w:rPr>
          <w:color w:val="000000" w:themeColor="text1"/>
        </w:rPr>
        <w:t>pb</w:t>
      </w:r>
      <w:proofErr w:type="spellEnd"/>
      <w:r w:rsidRPr="00144872">
        <w:rPr>
          <w:color w:val="000000" w:themeColor="text1"/>
        </w:rPr>
        <w:t xml:space="preserve"> </w:t>
      </w:r>
      <w:proofErr w:type="spellStart"/>
      <w:r w:rsidRPr="00144872">
        <w:rPr>
          <w:color w:val="000000" w:themeColor="text1"/>
        </w:rPr>
        <w:t>resp</w:t>
      </w:r>
      <w:proofErr w:type="spellEnd"/>
      <w:r w:rsidRPr="00144872">
        <w:rPr>
          <w:color w:val="000000" w:themeColor="text1"/>
        </w:rPr>
        <w:t> !</w:t>
      </w:r>
      <w:r>
        <w:rPr>
          <w:color w:val="000000" w:themeColor="text1"/>
        </w:rPr>
        <w:t>)</w:t>
      </w:r>
    </w:p>
    <w:p w14:paraId="0D0C380B" w14:textId="2A1EA06C" w:rsidR="00144872" w:rsidRDefault="00144872" w:rsidP="00144872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Histamine ou Bradykinine </w:t>
      </w:r>
      <w:r w:rsidRPr="00144872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vasodilatation et extravasation de liquide</w:t>
      </w:r>
    </w:p>
    <w:p w14:paraId="4E3FE333" w14:textId="77777777" w:rsidR="00843435" w:rsidRDefault="00843435" w:rsidP="00843435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Traitements</w:t>
      </w:r>
    </w:p>
    <w:p w14:paraId="74F7DB79" w14:textId="77777777" w:rsidR="007C762B" w:rsidRDefault="00843435" w:rsidP="007C762B">
      <w:pPr>
        <w:pStyle w:val="Paragraphedeliste"/>
        <w:numPr>
          <w:ilvl w:val="1"/>
          <w:numId w:val="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Anti-histaminique</w:t>
      </w:r>
      <w:proofErr w:type="spellEnd"/>
      <w:r>
        <w:rPr>
          <w:color w:val="000000" w:themeColor="text1"/>
        </w:rPr>
        <w:t xml:space="preserve"> à dose x 4 et si é</w:t>
      </w:r>
      <w:r w:rsidRPr="00843435">
        <w:rPr>
          <w:color w:val="000000" w:themeColor="text1"/>
        </w:rPr>
        <w:t xml:space="preserve">chec </w:t>
      </w:r>
      <w:r>
        <w:rPr>
          <w:color w:val="000000" w:themeColor="text1"/>
        </w:rPr>
        <w:t xml:space="preserve">ttt par anti-H1 </w:t>
      </w:r>
      <w:proofErr w:type="spellStart"/>
      <w:r>
        <w:rPr>
          <w:color w:val="000000" w:themeColor="text1"/>
        </w:rPr>
        <w:t>sédar¨tif</w:t>
      </w:r>
      <w:proofErr w:type="spellEnd"/>
      <w:r>
        <w:rPr>
          <w:color w:val="000000" w:themeColor="text1"/>
        </w:rPr>
        <w:t xml:space="preserve"> (</w:t>
      </w:r>
      <w:r w:rsidRPr="00843435">
        <w:rPr>
          <w:color w:val="000000" w:themeColor="text1"/>
        </w:rPr>
        <w:t>Atarax®</w:t>
      </w:r>
      <w:r>
        <w:rPr>
          <w:color w:val="000000" w:themeColor="text1"/>
        </w:rPr>
        <w:t>)</w:t>
      </w:r>
    </w:p>
    <w:p w14:paraId="49DBA24F" w14:textId="3A1FC037" w:rsidR="00C32C06" w:rsidRPr="007C762B" w:rsidRDefault="007C762B" w:rsidP="007C762B">
      <w:pPr>
        <w:pStyle w:val="Paragraphedeliste"/>
        <w:numPr>
          <w:ilvl w:val="1"/>
          <w:numId w:val="3"/>
        </w:numPr>
        <w:rPr>
          <w:color w:val="000000" w:themeColor="text1"/>
        </w:rPr>
      </w:pPr>
      <w:r>
        <w:rPr>
          <w:bCs/>
          <w:color w:val="000000" w:themeColor="text1"/>
        </w:rPr>
        <w:t>I</w:t>
      </w:r>
      <w:r w:rsidRPr="007C762B">
        <w:rPr>
          <w:bCs/>
          <w:color w:val="000000" w:themeColor="text1"/>
        </w:rPr>
        <w:t xml:space="preserve">nhibiteur de la C1 </w:t>
      </w:r>
      <w:proofErr w:type="spellStart"/>
      <w:r w:rsidRPr="007C762B">
        <w:rPr>
          <w:bCs/>
          <w:color w:val="000000" w:themeColor="text1"/>
        </w:rPr>
        <w:t>estlérase</w:t>
      </w:r>
      <w:proofErr w:type="spellEnd"/>
      <w:r w:rsidRPr="007C762B">
        <w:rPr>
          <w:color w:val="000000" w:themeColor="text1"/>
        </w:rPr>
        <w:t xml:space="preserve"> (</w:t>
      </w:r>
      <w:proofErr w:type="spellStart"/>
      <w:r w:rsidRPr="007C762B">
        <w:rPr>
          <w:color w:val="000000" w:themeColor="text1"/>
        </w:rPr>
        <w:t>Berinert</w:t>
      </w:r>
      <w:proofErr w:type="spellEnd"/>
      <w:r w:rsidRPr="007C762B">
        <w:rPr>
          <w:color w:val="000000" w:themeColor="text1"/>
        </w:rPr>
        <w:t xml:space="preserve">®) </w:t>
      </w:r>
      <w:r>
        <w:rPr>
          <w:color w:val="000000" w:themeColor="text1"/>
        </w:rPr>
        <w:t>s</w:t>
      </w:r>
      <w:r w:rsidR="00F24A08" w:rsidRPr="007C762B">
        <w:rPr>
          <w:color w:val="000000" w:themeColor="text1"/>
        </w:rPr>
        <w:t xml:space="preserve">i </w:t>
      </w:r>
      <w:proofErr w:type="spellStart"/>
      <w:r w:rsidR="00843435" w:rsidRPr="007C762B">
        <w:rPr>
          <w:b/>
          <w:color w:val="000000" w:themeColor="text1"/>
        </w:rPr>
        <w:t>angioœdème</w:t>
      </w:r>
      <w:proofErr w:type="spellEnd"/>
      <w:r w:rsidR="00843435" w:rsidRPr="007C762B">
        <w:rPr>
          <w:color w:val="000000" w:themeColor="text1"/>
        </w:rPr>
        <w:t xml:space="preserve"> </w:t>
      </w:r>
      <w:r w:rsidR="00F24A08" w:rsidRPr="007C762B">
        <w:rPr>
          <w:b/>
          <w:bCs/>
          <w:color w:val="000000" w:themeColor="text1"/>
        </w:rPr>
        <w:t>héréditaire</w:t>
      </w:r>
      <w:r w:rsidR="00F24A08" w:rsidRPr="007C762B">
        <w:rPr>
          <w:color w:val="000000" w:themeColor="text1"/>
        </w:rPr>
        <w:t xml:space="preserve"> </w:t>
      </w:r>
      <w:r w:rsidR="00843435" w:rsidRPr="007C762B">
        <w:rPr>
          <w:color w:val="000000" w:themeColor="text1"/>
        </w:rPr>
        <w:t xml:space="preserve">NB : comme dans ce cas pas lié à libération d’histamine, les </w:t>
      </w:r>
      <w:proofErr w:type="spellStart"/>
      <w:r w:rsidR="00843435" w:rsidRPr="007C762B">
        <w:rPr>
          <w:color w:val="000000" w:themeColor="text1"/>
        </w:rPr>
        <w:t>anti-histaminique</w:t>
      </w:r>
      <w:r w:rsidR="008E4024" w:rsidRPr="007C762B">
        <w:rPr>
          <w:color w:val="000000" w:themeColor="text1"/>
        </w:rPr>
        <w:t>s</w:t>
      </w:r>
      <w:proofErr w:type="spellEnd"/>
      <w:r w:rsidR="00843435" w:rsidRPr="007C762B">
        <w:rPr>
          <w:color w:val="000000" w:themeColor="text1"/>
        </w:rPr>
        <w:t xml:space="preserve"> et corticoïdes ne fonctionnent pas ici.</w:t>
      </w:r>
    </w:p>
    <w:sectPr w:rsidR="00C32C06" w:rsidRPr="007C762B" w:rsidSect="00E46BF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A3"/>
    <w:family w:val="swiss"/>
    <w:notTrueType/>
    <w:pitch w:val="default"/>
    <w:sig w:usb0="20000003" w:usb1="00000000" w:usb2="00000000" w:usb3="00000000" w:csb0="000001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B95"/>
    <w:multiLevelType w:val="hybridMultilevel"/>
    <w:tmpl w:val="C938F1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60C90"/>
    <w:multiLevelType w:val="hybridMultilevel"/>
    <w:tmpl w:val="33582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FBA"/>
    <w:multiLevelType w:val="hybridMultilevel"/>
    <w:tmpl w:val="A72E0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55DDF"/>
    <w:multiLevelType w:val="hybridMultilevel"/>
    <w:tmpl w:val="E0E66D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66ED9"/>
    <w:multiLevelType w:val="hybridMultilevel"/>
    <w:tmpl w:val="9B323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0A7F"/>
    <w:multiLevelType w:val="hybridMultilevel"/>
    <w:tmpl w:val="D922A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EA"/>
    <w:rsid w:val="0001410A"/>
    <w:rsid w:val="00040B4C"/>
    <w:rsid w:val="00055597"/>
    <w:rsid w:val="00075254"/>
    <w:rsid w:val="000B36BC"/>
    <w:rsid w:val="00127B2C"/>
    <w:rsid w:val="00144872"/>
    <w:rsid w:val="001601FF"/>
    <w:rsid w:val="00207E7A"/>
    <w:rsid w:val="002B27C0"/>
    <w:rsid w:val="002F7392"/>
    <w:rsid w:val="00302622"/>
    <w:rsid w:val="00332346"/>
    <w:rsid w:val="00393D40"/>
    <w:rsid w:val="003A19AC"/>
    <w:rsid w:val="004E0DDC"/>
    <w:rsid w:val="004F1DCD"/>
    <w:rsid w:val="004F41EB"/>
    <w:rsid w:val="005430CC"/>
    <w:rsid w:val="00544F46"/>
    <w:rsid w:val="00630390"/>
    <w:rsid w:val="006552E0"/>
    <w:rsid w:val="00663246"/>
    <w:rsid w:val="006A5FBB"/>
    <w:rsid w:val="006D0E7A"/>
    <w:rsid w:val="006D2248"/>
    <w:rsid w:val="0071716A"/>
    <w:rsid w:val="00792912"/>
    <w:rsid w:val="007A3AAF"/>
    <w:rsid w:val="007C762B"/>
    <w:rsid w:val="00842365"/>
    <w:rsid w:val="00843435"/>
    <w:rsid w:val="008C2D6D"/>
    <w:rsid w:val="008D4931"/>
    <w:rsid w:val="008E4024"/>
    <w:rsid w:val="00977DF9"/>
    <w:rsid w:val="00AA0A12"/>
    <w:rsid w:val="00AB393C"/>
    <w:rsid w:val="00BD78EA"/>
    <w:rsid w:val="00C32298"/>
    <w:rsid w:val="00C32C06"/>
    <w:rsid w:val="00C37779"/>
    <w:rsid w:val="00C64E6F"/>
    <w:rsid w:val="00D54320"/>
    <w:rsid w:val="00D6198A"/>
    <w:rsid w:val="00DB67C5"/>
    <w:rsid w:val="00DF74FC"/>
    <w:rsid w:val="00E46BFB"/>
    <w:rsid w:val="00F00C5E"/>
    <w:rsid w:val="00F12E44"/>
    <w:rsid w:val="00F24A08"/>
    <w:rsid w:val="00F26E28"/>
    <w:rsid w:val="00F466F3"/>
    <w:rsid w:val="00F82786"/>
    <w:rsid w:val="00F837E3"/>
    <w:rsid w:val="00F97D82"/>
    <w:rsid w:val="00FC34D6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F1233"/>
  <w15:chartTrackingRefBased/>
  <w15:docId w15:val="{A01FFDE3-2AEB-7941-9597-6360C104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8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1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2F7392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character" w:styleId="Lienhypertexte">
    <w:name w:val="Hyperlink"/>
    <w:basedOn w:val="Policepardfaut"/>
    <w:uiPriority w:val="99"/>
    <w:semiHidden/>
    <w:unhideWhenUsed/>
    <w:rsid w:val="00302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dermatologie-pratique.com/journal/article/0010350-actualisation-recommandations-internationales-prise-en-charge-lurticai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18D46E6.dotm</Template>
  <TotalTime>1</TotalTime>
  <Pages>4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Martinez</dc:creator>
  <cp:keywords/>
  <dc:description/>
  <cp:lastModifiedBy>Martinez Manuel</cp:lastModifiedBy>
  <cp:revision>2</cp:revision>
  <dcterms:created xsi:type="dcterms:W3CDTF">2023-01-04T08:52:00Z</dcterms:created>
  <dcterms:modified xsi:type="dcterms:W3CDTF">2023-01-04T08:52:00Z</dcterms:modified>
</cp:coreProperties>
</file>