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FA" w:rsidRDefault="00DE63FA" w:rsidP="00DE63FA">
      <w:pPr>
        <w:ind w:left="540"/>
        <w:jc w:val="center"/>
        <w:rPr>
          <w:rFonts w:ascii="Arial" w:hAnsi="Arial" w:cs="Arial"/>
          <w:b/>
          <w:color w:val="1A1A1A"/>
          <w:sz w:val="20"/>
          <w:szCs w:val="20"/>
        </w:rPr>
      </w:pPr>
      <w:r w:rsidRPr="005F3765">
        <w:rPr>
          <w:rFonts w:ascii="Arial" w:hAnsi="Arial" w:cs="Arial"/>
          <w:b/>
          <w:color w:val="1A1A1A"/>
          <w:sz w:val="20"/>
          <w:szCs w:val="20"/>
        </w:rPr>
        <w:t xml:space="preserve">ARTHRITE REACTIONNELLE POST-STREPTOCOCCIQUE </w:t>
      </w:r>
    </w:p>
    <w:p w:rsidR="00DE63FA" w:rsidRDefault="00DE63FA" w:rsidP="00DE63FA">
      <w:pPr>
        <w:ind w:left="540"/>
        <w:jc w:val="center"/>
        <w:rPr>
          <w:rFonts w:ascii="Arial" w:hAnsi="Arial" w:cs="Arial"/>
          <w:b/>
          <w:color w:val="1A1A1A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1A1A1A"/>
          <w:sz w:val="20"/>
          <w:szCs w:val="20"/>
        </w:rPr>
        <w:t>(ARPS)</w:t>
      </w:r>
    </w:p>
    <w:p w:rsidR="00DE63FA" w:rsidRDefault="00DE63FA" w:rsidP="00DE63FA">
      <w:pPr>
        <w:ind w:left="540"/>
        <w:rPr>
          <w:rFonts w:ascii="Arial" w:hAnsi="Arial" w:cs="Arial"/>
          <w:b/>
          <w:color w:val="1A1A1A"/>
          <w:sz w:val="20"/>
          <w:szCs w:val="20"/>
        </w:rPr>
      </w:pPr>
    </w:p>
    <w:p w:rsidR="00DE63FA" w:rsidRPr="005F3765" w:rsidRDefault="00DE63FA" w:rsidP="00DE63FA">
      <w:pPr>
        <w:ind w:left="540"/>
        <w:rPr>
          <w:rFonts w:ascii="Arial" w:hAnsi="Arial" w:cs="Arial"/>
          <w:sz w:val="20"/>
          <w:szCs w:val="20"/>
          <w:u w:val="single"/>
        </w:rPr>
      </w:pPr>
      <w:r w:rsidRPr="005F3765">
        <w:rPr>
          <w:rFonts w:ascii="Arial" w:hAnsi="Arial" w:cs="Arial"/>
          <w:b/>
          <w:color w:val="1A1A1A"/>
          <w:sz w:val="20"/>
          <w:szCs w:val="20"/>
        </w:rPr>
        <w:t xml:space="preserve"> </w:t>
      </w:r>
      <w:r>
        <w:rPr>
          <w:rFonts w:ascii="Arial" w:hAnsi="Arial" w:cs="Arial"/>
          <w:color w:val="1A1A1A"/>
          <w:sz w:val="20"/>
          <w:szCs w:val="20"/>
          <w:u w:val="single"/>
        </w:rPr>
        <w:t>N</w:t>
      </w:r>
      <w:r w:rsidRPr="005F3765">
        <w:rPr>
          <w:rFonts w:ascii="Arial" w:hAnsi="Arial" w:cs="Arial"/>
          <w:color w:val="1A1A1A"/>
          <w:sz w:val="20"/>
          <w:szCs w:val="20"/>
          <w:u w:val="single"/>
        </w:rPr>
        <w:t>on érosive et récidive en cas de nouvelle pharyngite à GAS</w:t>
      </w:r>
      <w:r>
        <w:rPr>
          <w:rFonts w:ascii="Arial" w:hAnsi="Arial" w:cs="Arial"/>
          <w:color w:val="1A1A1A"/>
          <w:sz w:val="20"/>
          <w:szCs w:val="20"/>
        </w:rPr>
        <w:t xml:space="preserve">  </w:t>
      </w:r>
      <w:r w:rsidRPr="00635DC2">
        <w:rPr>
          <w:rFonts w:ascii="Arial" w:hAnsi="Arial" w:cs="Arial"/>
          <w:color w:val="1A1A1A"/>
          <w:sz w:val="20"/>
          <w:szCs w:val="20"/>
        </w:rPr>
        <w:sym w:font="Wingdings" w:char="F0E0"/>
      </w:r>
      <w:r w:rsidRPr="005F3765">
        <w:rPr>
          <w:rFonts w:ascii="Arial" w:hAnsi="Arial" w:cs="Arial"/>
          <w:color w:val="1A1A1A"/>
          <w:sz w:val="20"/>
          <w:szCs w:val="20"/>
        </w:rPr>
        <w:t xml:space="preserve"> se distingue du RAA par:</w:t>
      </w:r>
    </w:p>
    <w:p w:rsidR="00DE63FA" w:rsidRPr="005F3765" w:rsidRDefault="00DE63FA" w:rsidP="00DE63FA">
      <w:pPr>
        <w:numPr>
          <w:ilvl w:val="2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5F3765">
        <w:rPr>
          <w:rFonts w:ascii="Arial" w:hAnsi="Arial" w:cs="Arial"/>
          <w:color w:val="1A1A1A"/>
          <w:sz w:val="20"/>
          <w:szCs w:val="20"/>
        </w:rPr>
        <w:t>Une «phase de latence» plus courte</w:t>
      </w:r>
    </w:p>
    <w:p w:rsidR="00DE63FA" w:rsidRPr="005F3765" w:rsidRDefault="00DE63FA" w:rsidP="00DE63FA">
      <w:pPr>
        <w:numPr>
          <w:ilvl w:val="2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5F3765">
        <w:rPr>
          <w:rFonts w:ascii="Arial" w:hAnsi="Arial" w:cs="Arial"/>
          <w:color w:val="1A1A1A"/>
          <w:sz w:val="20"/>
          <w:szCs w:val="20"/>
        </w:rPr>
        <w:t>Une réponse nettement moins spectaculaire aux AINS (notamment à l'aspirine)</w:t>
      </w:r>
    </w:p>
    <w:p w:rsidR="00DE63FA" w:rsidRPr="005F3765" w:rsidRDefault="00DE63FA" w:rsidP="00DE63FA">
      <w:pPr>
        <w:numPr>
          <w:ilvl w:val="2"/>
          <w:numId w:val="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color w:val="1A1A1A"/>
          <w:sz w:val="20"/>
          <w:szCs w:val="20"/>
        </w:rPr>
        <w:t>U</w:t>
      </w:r>
      <w:r w:rsidRPr="005F3765">
        <w:rPr>
          <w:rFonts w:ascii="Arial" w:hAnsi="Arial" w:cs="Arial"/>
          <w:color w:val="1A1A1A"/>
          <w:sz w:val="20"/>
          <w:szCs w:val="20"/>
        </w:rPr>
        <w:t xml:space="preserve">n cours prolongé </w:t>
      </w:r>
    </w:p>
    <w:p w:rsidR="00DE63FA" w:rsidRPr="005F3765" w:rsidRDefault="00DE63FA" w:rsidP="00DE63FA">
      <w:pPr>
        <w:numPr>
          <w:ilvl w:val="2"/>
          <w:numId w:val="1"/>
        </w:numPr>
        <w:rPr>
          <w:rFonts w:ascii="Arial" w:hAnsi="Arial" w:cs="Arial"/>
          <w:sz w:val="20"/>
          <w:szCs w:val="20"/>
          <w:u w:val="single"/>
        </w:rPr>
      </w:pPr>
      <w:proofErr w:type="spellStart"/>
      <w:r w:rsidRPr="005F3765">
        <w:rPr>
          <w:rFonts w:ascii="Arial" w:hAnsi="Arial" w:cs="Arial"/>
          <w:sz w:val="20"/>
          <w:szCs w:val="20"/>
          <w:u w:val="single"/>
        </w:rPr>
        <w:t>P</w:t>
      </w:r>
      <w:r w:rsidRPr="005F3765">
        <w:rPr>
          <w:rFonts w:ascii="Arial" w:hAnsi="Arial" w:cs="Arial"/>
          <w:color w:val="1A1A1A"/>
          <w:sz w:val="20"/>
          <w:szCs w:val="20"/>
        </w:rPr>
        <w:t>eut être</w:t>
      </w:r>
      <w:proofErr w:type="spellEnd"/>
      <w:r w:rsidRPr="005F3765">
        <w:rPr>
          <w:rFonts w:ascii="Arial" w:hAnsi="Arial" w:cs="Arial"/>
          <w:color w:val="1A1A1A"/>
          <w:sz w:val="20"/>
          <w:szCs w:val="20"/>
        </w:rPr>
        <w:t xml:space="preserve"> mono-, </w:t>
      </w:r>
      <w:proofErr w:type="spellStart"/>
      <w:r w:rsidRPr="005F3765">
        <w:rPr>
          <w:rFonts w:ascii="Arial" w:hAnsi="Arial" w:cs="Arial"/>
          <w:color w:val="1A1A1A"/>
          <w:sz w:val="20"/>
          <w:szCs w:val="20"/>
        </w:rPr>
        <w:t>oligo</w:t>
      </w:r>
      <w:proofErr w:type="spellEnd"/>
      <w:r w:rsidRPr="005F3765">
        <w:rPr>
          <w:rFonts w:ascii="Arial" w:hAnsi="Arial" w:cs="Arial"/>
          <w:color w:val="1A1A1A"/>
          <w:sz w:val="20"/>
          <w:szCs w:val="20"/>
        </w:rPr>
        <w:t xml:space="preserve">- ou </w:t>
      </w:r>
      <w:proofErr w:type="spellStart"/>
      <w:r w:rsidRPr="005F3765">
        <w:rPr>
          <w:rFonts w:ascii="Arial" w:hAnsi="Arial" w:cs="Arial"/>
          <w:color w:val="1A1A1A"/>
          <w:sz w:val="20"/>
          <w:szCs w:val="20"/>
        </w:rPr>
        <w:t>polyarticulaire</w:t>
      </w:r>
      <w:proofErr w:type="spellEnd"/>
      <w:r w:rsidRPr="005F3765">
        <w:rPr>
          <w:rFonts w:ascii="Arial" w:hAnsi="Arial" w:cs="Arial"/>
          <w:color w:val="1A1A1A"/>
          <w:sz w:val="20"/>
          <w:szCs w:val="20"/>
        </w:rPr>
        <w:t xml:space="preserve"> (&gt; 4 articulations)</w:t>
      </w:r>
    </w:p>
    <w:p w:rsidR="00DE63FA" w:rsidRPr="005F3765" w:rsidRDefault="00DE63FA" w:rsidP="00DE63FA">
      <w:pPr>
        <w:numPr>
          <w:ilvl w:val="2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5F3765">
        <w:rPr>
          <w:rFonts w:ascii="Arial" w:hAnsi="Arial" w:cs="Arial"/>
          <w:color w:val="1A1A1A"/>
          <w:sz w:val="20"/>
          <w:szCs w:val="20"/>
        </w:rPr>
        <w:t xml:space="preserve">Symétrique ou non. </w:t>
      </w:r>
    </w:p>
    <w:p w:rsidR="00DE63FA" w:rsidRPr="005F3765" w:rsidRDefault="00DE63FA" w:rsidP="00DE63FA">
      <w:pPr>
        <w:numPr>
          <w:ilvl w:val="2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5F3765">
        <w:rPr>
          <w:rFonts w:ascii="Arial" w:hAnsi="Arial" w:cs="Arial"/>
          <w:color w:val="1A1A1A"/>
          <w:sz w:val="20"/>
          <w:szCs w:val="20"/>
        </w:rPr>
        <w:t>Atteint un peu plus souvent les grandes articulations que les petites (10-30% des cas rapportés).</w:t>
      </w:r>
    </w:p>
    <w:p w:rsidR="00DE63FA" w:rsidRPr="005F3765" w:rsidRDefault="00DE63FA" w:rsidP="00DE63FA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5F3765">
        <w:rPr>
          <w:rFonts w:ascii="Arial" w:hAnsi="Arial" w:cs="Arial"/>
          <w:b/>
          <w:noProof/>
          <w:sz w:val="20"/>
          <w:szCs w:val="20"/>
          <w:lang w:val="fr-CH" w:eastAsia="fr-CH"/>
        </w:rPr>
        <w:drawing>
          <wp:inline distT="0" distB="0" distL="0" distR="0">
            <wp:extent cx="4140200" cy="2443480"/>
            <wp:effectExtent l="0" t="0" r="0" b="0"/>
            <wp:docPr id="2" name="Image 2" descr="Capture d’écran 2013-12-26 à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3-12-26 à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FA" w:rsidRPr="005F3765" w:rsidRDefault="00DE63FA" w:rsidP="00DE63FA">
      <w:pPr>
        <w:ind w:left="567"/>
        <w:rPr>
          <w:rFonts w:ascii="Arial" w:hAnsi="Arial" w:cs="Arial"/>
          <w:sz w:val="20"/>
          <w:szCs w:val="20"/>
        </w:rPr>
      </w:pPr>
      <w:r w:rsidRPr="005F3765">
        <w:rPr>
          <w:rFonts w:ascii="Arial" w:hAnsi="Arial" w:cs="Arial"/>
          <w:sz w:val="20"/>
          <w:szCs w:val="20"/>
          <w:u w:val="single"/>
        </w:rPr>
        <w:t>NB </w:t>
      </w:r>
      <w:r w:rsidRPr="005F3765">
        <w:rPr>
          <w:rFonts w:ascii="Arial" w:hAnsi="Arial" w:cs="Arial"/>
          <w:sz w:val="20"/>
          <w:szCs w:val="20"/>
        </w:rPr>
        <w:t xml:space="preserve">: </w:t>
      </w:r>
    </w:p>
    <w:p w:rsidR="00DE63FA" w:rsidRPr="005F3765" w:rsidRDefault="00DE63FA" w:rsidP="00DE63FA">
      <w:pPr>
        <w:numPr>
          <w:ilvl w:val="0"/>
          <w:numId w:val="2"/>
        </w:numPr>
        <w:rPr>
          <w:rFonts w:ascii="Arial" w:hAnsi="Arial" w:cs="Arial"/>
          <w:color w:val="1A1A1A"/>
          <w:sz w:val="20"/>
          <w:szCs w:val="20"/>
        </w:rPr>
      </w:pPr>
      <w:r w:rsidRPr="005F3765">
        <w:rPr>
          <w:rFonts w:ascii="Arial" w:hAnsi="Arial" w:cs="Arial"/>
          <w:color w:val="1A1A1A"/>
          <w:sz w:val="20"/>
          <w:szCs w:val="20"/>
        </w:rPr>
        <w:t xml:space="preserve">Certains considèrent que l'ARPS et le RAA appartiennent à un continuum. Pour eux, l'ARPS n'est rien d'autre qu'un RAA </w:t>
      </w:r>
      <w:r>
        <w:rPr>
          <w:rFonts w:ascii="Arial" w:hAnsi="Arial" w:cs="Arial"/>
          <w:i/>
          <w:iCs/>
          <w:color w:val="1A1A1A"/>
          <w:sz w:val="20"/>
          <w:szCs w:val="20"/>
        </w:rPr>
        <w:t>incomplet</w:t>
      </w:r>
      <w:r w:rsidRPr="005F3765">
        <w:rPr>
          <w:rFonts w:ascii="Arial" w:hAnsi="Arial" w:cs="Arial"/>
          <w:color w:val="1A1A1A"/>
          <w:sz w:val="20"/>
          <w:szCs w:val="20"/>
        </w:rPr>
        <w:t>. Comme il est actuellement impossible de déterminer quel enfant est à risque et lequel ne l'est pas, la plupart des experts préconisent une prophylaxie secondaire dès le premier accès d'ARPS.</w:t>
      </w:r>
      <w:r w:rsidRPr="005F3765">
        <w:rPr>
          <w:rFonts w:ascii="Verdana" w:hAnsi="Verdana" w:cs="Verdana"/>
          <w:color w:val="1A1A1A"/>
          <w:sz w:val="26"/>
          <w:szCs w:val="26"/>
        </w:rPr>
        <w:t xml:space="preserve"> </w:t>
      </w:r>
      <w:r w:rsidRPr="005F3765">
        <w:rPr>
          <w:rFonts w:ascii="Arial" w:hAnsi="Arial" w:cs="Arial"/>
          <w:color w:val="1A1A1A"/>
          <w:sz w:val="20"/>
          <w:szCs w:val="20"/>
        </w:rPr>
        <w:t xml:space="preserve">La recommandation de l'AHA est d'administrer une prophylaxie </w:t>
      </w:r>
      <w:r w:rsidRPr="005F3765">
        <w:rPr>
          <w:rFonts w:ascii="Arial" w:hAnsi="Arial" w:cs="Arial"/>
          <w:b/>
          <w:color w:val="1A1A1A"/>
          <w:sz w:val="20"/>
          <w:szCs w:val="20"/>
        </w:rPr>
        <w:t>pendant 1 année</w:t>
      </w:r>
      <w:r w:rsidRPr="005F3765">
        <w:rPr>
          <w:rFonts w:ascii="Arial" w:hAnsi="Arial" w:cs="Arial"/>
          <w:color w:val="1A1A1A"/>
          <w:sz w:val="20"/>
          <w:szCs w:val="20"/>
        </w:rPr>
        <w:t xml:space="preserve"> avec un </w:t>
      </w:r>
      <w:r w:rsidRPr="005F3765">
        <w:rPr>
          <w:rFonts w:ascii="Arial" w:hAnsi="Arial" w:cs="Arial"/>
          <w:b/>
          <w:color w:val="1A1A1A"/>
          <w:sz w:val="20"/>
          <w:szCs w:val="20"/>
        </w:rPr>
        <w:t>suivi cardiologique</w:t>
      </w:r>
      <w:r w:rsidRPr="005F3765">
        <w:rPr>
          <w:rFonts w:ascii="Arial" w:hAnsi="Arial" w:cs="Arial"/>
          <w:color w:val="1A1A1A"/>
          <w:sz w:val="20"/>
          <w:szCs w:val="20"/>
        </w:rPr>
        <w:t xml:space="preserve"> serré. Si aucune atteinte cardiaque ne se développe, l'antibiothérapie est arrêtée. Si une cardite est détectée, l'AHA considère l'ARPS comme un RAA avec sa prophylaxie. </w:t>
      </w:r>
    </w:p>
    <w:p w:rsidR="00DE63FA" w:rsidRPr="005F3765" w:rsidRDefault="00DE63FA" w:rsidP="00DE63FA">
      <w:pPr>
        <w:numPr>
          <w:ilvl w:val="0"/>
          <w:numId w:val="2"/>
        </w:numPr>
        <w:rPr>
          <w:rFonts w:ascii="Arial" w:hAnsi="Arial" w:cs="Arial"/>
          <w:color w:val="1A1A1A"/>
          <w:sz w:val="20"/>
          <w:szCs w:val="20"/>
        </w:rPr>
      </w:pPr>
      <w:r w:rsidRPr="005F3765">
        <w:rPr>
          <w:rFonts w:ascii="Arial" w:hAnsi="Arial" w:cs="Arial"/>
          <w:sz w:val="20"/>
          <w:szCs w:val="20"/>
        </w:rPr>
        <w:t xml:space="preserve">Les </w:t>
      </w:r>
      <w:r w:rsidRPr="005F3765">
        <w:rPr>
          <w:rFonts w:ascii="Arial" w:hAnsi="Arial" w:cs="Arial"/>
          <w:color w:val="1A1A1A"/>
          <w:sz w:val="20"/>
          <w:szCs w:val="20"/>
        </w:rPr>
        <w:t>arthrites réactionnelles faisant suite à une pharyngite à streptocoques bêta-hémolytiques des groupes C (SBHC) ou G (SBHG) s'accompagnent également d'une élévation des ASLO et des anti-</w:t>
      </w:r>
      <w:proofErr w:type="spellStart"/>
      <w:r w:rsidRPr="005F3765">
        <w:rPr>
          <w:rFonts w:ascii="Arial" w:hAnsi="Arial" w:cs="Arial"/>
          <w:color w:val="1A1A1A"/>
          <w:sz w:val="20"/>
          <w:szCs w:val="20"/>
        </w:rPr>
        <w:t>DNases</w:t>
      </w:r>
      <w:proofErr w:type="spellEnd"/>
      <w:r w:rsidRPr="005F3765">
        <w:rPr>
          <w:rFonts w:ascii="Arial" w:hAnsi="Arial" w:cs="Arial"/>
          <w:color w:val="1A1A1A"/>
          <w:sz w:val="20"/>
          <w:szCs w:val="20"/>
        </w:rPr>
        <w:t xml:space="preserve"> B, mais ne s'associent jamais à un RAA</w:t>
      </w:r>
      <w:r w:rsidRPr="005F3765">
        <w:rPr>
          <w:rFonts w:ascii="Verdana" w:hAnsi="Verdana" w:cs="Verdana"/>
          <w:color w:val="1A1A1A"/>
          <w:sz w:val="26"/>
          <w:szCs w:val="26"/>
        </w:rPr>
        <w:t>.</w:t>
      </w:r>
    </w:p>
    <w:p w:rsidR="00DE63FA" w:rsidRPr="005F3765" w:rsidRDefault="00DE63FA" w:rsidP="00DE63FA">
      <w:pPr>
        <w:ind w:left="1287"/>
        <w:rPr>
          <w:rFonts w:ascii="Arial" w:hAnsi="Arial" w:cs="Arial"/>
          <w:color w:val="1A1A1A"/>
          <w:sz w:val="20"/>
          <w:szCs w:val="20"/>
        </w:rPr>
      </w:pPr>
    </w:p>
    <w:p w:rsidR="00DE63FA" w:rsidRPr="005F3765" w:rsidRDefault="00DE63FA" w:rsidP="00DE63FA">
      <w:pPr>
        <w:ind w:left="1287"/>
        <w:rPr>
          <w:rFonts w:ascii="Arial" w:hAnsi="Arial" w:cs="Arial"/>
          <w:b/>
          <w:color w:val="1A1A1A"/>
          <w:sz w:val="20"/>
          <w:szCs w:val="20"/>
          <w:u w:val="single"/>
        </w:rPr>
      </w:pPr>
      <w:r w:rsidRPr="005F3765">
        <w:rPr>
          <w:rFonts w:ascii="Arial" w:hAnsi="Arial" w:cs="Arial"/>
          <w:b/>
          <w:color w:val="1A1A1A"/>
          <w:sz w:val="20"/>
          <w:szCs w:val="20"/>
          <w:u w:val="single"/>
        </w:rPr>
        <w:t>Comment prouver une Arthrite post-Streptococcique</w:t>
      </w:r>
    </w:p>
    <w:p w:rsidR="002C34A3" w:rsidRDefault="00DE63FA" w:rsidP="00DE63FA">
      <w:pPr>
        <w:ind w:left="851"/>
      </w:pPr>
      <w:r w:rsidRPr="005F3765">
        <w:rPr>
          <w:rFonts w:ascii="Arial" w:hAnsi="Arial" w:cs="Arial"/>
          <w:noProof/>
          <w:color w:val="1A1A1A"/>
          <w:sz w:val="20"/>
          <w:szCs w:val="20"/>
          <w:lang w:val="fr-CH" w:eastAsia="fr-CH"/>
        </w:rPr>
        <w:drawing>
          <wp:inline distT="0" distB="0" distL="0" distR="0">
            <wp:extent cx="4381500" cy="2713990"/>
            <wp:effectExtent l="0" t="0" r="0" b="0"/>
            <wp:docPr id="1" name="Image 1" descr="Capture d’écran 2013-12-26 à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 d’écran 2013-12-26 à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4A3" w:rsidSect="00DE63F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37F09"/>
    <w:multiLevelType w:val="hybridMultilevel"/>
    <w:tmpl w:val="A2040F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323F2E"/>
    <w:multiLevelType w:val="hybridMultilevel"/>
    <w:tmpl w:val="09A2E2FA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4D4CDA44">
      <w:numFmt w:val="bullet"/>
      <w:lvlText w:val=""/>
      <w:lvlJc w:val="left"/>
      <w:pPr>
        <w:ind w:left="3780" w:hanging="360"/>
      </w:pPr>
      <w:rPr>
        <w:rFonts w:ascii="Wingdings" w:eastAsia="Times New Roman" w:hAnsi="Wingdings" w:cs="Times New 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FA"/>
    <w:rsid w:val="002C34A3"/>
    <w:rsid w:val="00D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AB134B-77D3-4061-9AA1-7811C9C4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78401821.dotm</Template>
  <TotalTime>1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Manuel</dc:creator>
  <cp:keywords/>
  <dc:description/>
  <cp:lastModifiedBy>Martinez Manuel</cp:lastModifiedBy>
  <cp:revision>1</cp:revision>
  <dcterms:created xsi:type="dcterms:W3CDTF">2022-05-31T12:21:00Z</dcterms:created>
  <dcterms:modified xsi:type="dcterms:W3CDTF">2022-05-31T12:22:00Z</dcterms:modified>
</cp:coreProperties>
</file>