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04" w:rsidRDefault="000D0E04" w:rsidP="000D0E04">
      <w:pPr>
        <w:ind w:left="540"/>
        <w:jc w:val="center"/>
        <w:rPr>
          <w:rFonts w:ascii="Arial" w:hAnsi="Arial"/>
          <w:b/>
          <w:sz w:val="20"/>
          <w:lang w:val="en-US"/>
        </w:rPr>
      </w:pPr>
      <w:r w:rsidRPr="00496750">
        <w:rPr>
          <w:rFonts w:ascii="Arial" w:hAnsi="Arial"/>
          <w:b/>
          <w:sz w:val="20"/>
          <w:lang w:val="en-US"/>
        </w:rPr>
        <w:t>GN POST STREPTOCOCCIQUE</w:t>
      </w:r>
    </w:p>
    <w:p w:rsidR="000D0E04" w:rsidRDefault="000D0E04" w:rsidP="000D0E04">
      <w:pPr>
        <w:ind w:left="540"/>
        <w:jc w:val="center"/>
        <w:rPr>
          <w:rFonts w:ascii="Arial" w:hAnsi="Arial"/>
          <w:sz w:val="20"/>
          <w:lang w:val="en-US"/>
        </w:rPr>
      </w:pPr>
      <w:r w:rsidRPr="00496750">
        <w:rPr>
          <w:rFonts w:ascii="Arial" w:hAnsi="Arial"/>
          <w:sz w:val="20"/>
          <w:lang w:val="en-US"/>
        </w:rPr>
        <w:t>(</w:t>
      </w:r>
      <w:r>
        <w:rPr>
          <w:sz w:val="18"/>
          <w:szCs w:val="18"/>
          <w:lang w:val="en-US"/>
        </w:rPr>
        <w:t xml:space="preserve">Pediatrics in Review, Vol. 36 No. 1 </w:t>
      </w:r>
      <w:r>
        <w:rPr>
          <w:sz w:val="16"/>
          <w:szCs w:val="16"/>
          <w:lang w:val="en-US"/>
        </w:rPr>
        <w:t>JANUARY 2015)</w:t>
      </w:r>
      <w:r w:rsidRPr="00496750">
        <w:rPr>
          <w:rFonts w:ascii="Arial" w:hAnsi="Arial"/>
          <w:b/>
          <w:sz w:val="20"/>
          <w:lang w:val="en-US"/>
        </w:rPr>
        <w:t> </w:t>
      </w:r>
    </w:p>
    <w:p w:rsidR="000D0E04" w:rsidRPr="00496750" w:rsidRDefault="000D0E04" w:rsidP="000D0E04">
      <w:pPr>
        <w:ind w:left="540"/>
        <w:rPr>
          <w:rFonts w:ascii="Arial" w:hAnsi="Arial"/>
          <w:sz w:val="20"/>
          <w:lang w:val="en-US"/>
        </w:rPr>
      </w:pPr>
    </w:p>
    <w:p w:rsidR="000D0E04" w:rsidRPr="00DF76A3" w:rsidRDefault="000D0E04" w:rsidP="000D0E04">
      <w:pPr>
        <w:numPr>
          <w:ilvl w:val="1"/>
          <w:numId w:val="1"/>
        </w:numPr>
        <w:rPr>
          <w:rFonts w:ascii="Arial" w:hAnsi="Arial"/>
          <w:b/>
          <w:color w:val="FF0000"/>
          <w:sz w:val="20"/>
        </w:rPr>
      </w:pPr>
      <w:bookmarkStart w:id="0" w:name="_GoBack"/>
      <w:r w:rsidRPr="00DF76A3">
        <w:rPr>
          <w:rFonts w:ascii="Arial" w:hAnsi="Arial"/>
          <w:b/>
          <w:color w:val="FF0000"/>
          <w:sz w:val="20"/>
        </w:rPr>
        <w:t xml:space="preserve">Les GN post streptococciques ne sont </w:t>
      </w:r>
      <w:r w:rsidRPr="00DF76A3">
        <w:rPr>
          <w:rFonts w:ascii="Arial" w:hAnsi="Arial"/>
          <w:b/>
          <w:color w:val="FF0000"/>
          <w:sz w:val="20"/>
          <w:u w:val="single"/>
        </w:rPr>
        <w:t>pas</w:t>
      </w:r>
      <w:r w:rsidRPr="00DF76A3">
        <w:rPr>
          <w:rFonts w:ascii="Arial" w:hAnsi="Arial"/>
          <w:b/>
          <w:color w:val="FF0000"/>
          <w:sz w:val="20"/>
        </w:rPr>
        <w:t xml:space="preserve"> évitées par un traitement antibiotique !</w:t>
      </w:r>
    </w:p>
    <w:p w:rsidR="000D0E04" w:rsidRDefault="000D0E04" w:rsidP="000D0E04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La cause de GN la plus fréquente chez l’enfant surtout dans les pays en développement qui en ont 30-300x plus que les pays développés (0,3/100'000 personnes) en raison de la fréquence des infections à Streptocoque A.</w:t>
      </w:r>
    </w:p>
    <w:p w:rsidR="000D0E04" w:rsidRPr="00DF76A3" w:rsidRDefault="000D0E04" w:rsidP="000D0E04">
      <w:pPr>
        <w:numPr>
          <w:ilvl w:val="1"/>
          <w:numId w:val="1"/>
        </w:numPr>
        <w:rPr>
          <w:rFonts w:ascii="Arial" w:hAnsi="Arial"/>
          <w:sz w:val="20"/>
        </w:rPr>
      </w:pPr>
      <w:r w:rsidRPr="00DF76A3">
        <w:rPr>
          <w:rFonts w:ascii="Arial" w:hAnsi="Arial"/>
          <w:sz w:val="20"/>
        </w:rPr>
        <w:t>Période de latence après l’infection :</w:t>
      </w:r>
    </w:p>
    <w:p w:rsidR="000D0E04" w:rsidRPr="008627DD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 w:rsidRPr="008627DD">
        <w:rPr>
          <w:rFonts w:ascii="Arial" w:hAnsi="Arial"/>
          <w:sz w:val="20"/>
        </w:rPr>
        <w:t xml:space="preserve">3 semaines post </w:t>
      </w:r>
      <w:r w:rsidRPr="008627DD">
        <w:rPr>
          <w:rFonts w:ascii="Arial" w:hAnsi="Arial"/>
          <w:sz w:val="20"/>
          <w:u w:val="single"/>
        </w:rPr>
        <w:t>angine</w:t>
      </w:r>
      <w:r w:rsidRPr="008627DD">
        <w:rPr>
          <w:rFonts w:ascii="Arial" w:hAnsi="Arial"/>
          <w:sz w:val="20"/>
        </w:rPr>
        <w:t xml:space="preserve"> à Streptocoque A</w:t>
      </w:r>
    </w:p>
    <w:p w:rsidR="000D0E04" w:rsidRPr="008627DD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 w:rsidRPr="008627DD">
        <w:rPr>
          <w:rFonts w:ascii="Arial" w:hAnsi="Arial"/>
          <w:sz w:val="20"/>
        </w:rPr>
        <w:t xml:space="preserve">6 semaines post infection </w:t>
      </w:r>
      <w:r w:rsidRPr="008627DD">
        <w:rPr>
          <w:rFonts w:ascii="Arial" w:hAnsi="Arial"/>
          <w:sz w:val="20"/>
          <w:u w:val="single"/>
        </w:rPr>
        <w:t>cutanée</w:t>
      </w:r>
      <w:r w:rsidRPr="008627DD">
        <w:rPr>
          <w:rFonts w:ascii="Arial" w:hAnsi="Arial"/>
          <w:sz w:val="20"/>
        </w:rPr>
        <w:t xml:space="preserve"> à Streptocoque A</w:t>
      </w:r>
    </w:p>
    <w:p w:rsidR="000D0E04" w:rsidRDefault="000D0E04" w:rsidP="000D0E04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Touche des </w:t>
      </w:r>
      <w:bookmarkEnd w:id="0"/>
      <w:r>
        <w:rPr>
          <w:rFonts w:ascii="Arial" w:hAnsi="Arial"/>
          <w:sz w:val="20"/>
        </w:rPr>
        <w:t xml:space="preserve">enfants entre 4-12 ans ; </w:t>
      </w:r>
      <w:r w:rsidRPr="00DF76A3">
        <w:rPr>
          <w:rFonts w:ascii="Arial" w:hAnsi="Arial"/>
          <w:b/>
          <w:sz w:val="20"/>
        </w:rPr>
        <w:t>rare avant 2 ans et après 18 ans.</w:t>
      </w:r>
    </w:p>
    <w:p w:rsidR="000D0E04" w:rsidRDefault="000D0E04" w:rsidP="000D0E04">
      <w:pPr>
        <w:numPr>
          <w:ilvl w:val="1"/>
          <w:numId w:val="1"/>
        </w:numPr>
        <w:rPr>
          <w:rFonts w:ascii="Arial" w:hAnsi="Arial"/>
          <w:sz w:val="20"/>
        </w:rPr>
      </w:pPr>
      <w:r w:rsidRPr="00DF76A3">
        <w:rPr>
          <w:rFonts w:ascii="Arial" w:hAnsi="Arial"/>
          <w:sz w:val="20"/>
          <w:u w:val="single"/>
        </w:rPr>
        <w:t>Mécanisme</w:t>
      </w:r>
      <w:r>
        <w:rPr>
          <w:rFonts w:ascii="Arial" w:hAnsi="Arial"/>
          <w:sz w:val="20"/>
        </w:rPr>
        <w:t> : Dépôt complexes Ag-AC sous endothéliaux</w:t>
      </w:r>
      <w:r w:rsidRPr="005F376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au niveau des glomérules des reins avec </w:t>
      </w:r>
      <w:r w:rsidRPr="00DF76A3">
        <w:rPr>
          <w:rFonts w:ascii="Arial" w:hAnsi="Arial"/>
          <w:i/>
          <w:sz w:val="20"/>
        </w:rPr>
        <w:t>activation du complément</w:t>
      </w:r>
      <w:r w:rsidRPr="005F376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vs AC contre le GAS qui reconnaissent aussi les glomérules ou encore dépôt d’Ag dans les glomérule et arrivée ensuite des AC </w:t>
      </w:r>
      <w:r w:rsidRPr="00DF76A3"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Les complexes AG-AC engendre une adhésion du complément (C3 qui diminue dans le sang par consommation), une activation des leucocytes et  une prolifération </w:t>
      </w:r>
      <w:proofErr w:type="spellStart"/>
      <w:r>
        <w:rPr>
          <w:rFonts w:ascii="Arial" w:hAnsi="Arial"/>
          <w:sz w:val="20"/>
        </w:rPr>
        <w:t>mésangiales</w:t>
      </w:r>
      <w:proofErr w:type="spellEnd"/>
      <w:r>
        <w:rPr>
          <w:rFonts w:ascii="Arial" w:hAnsi="Arial"/>
          <w:sz w:val="20"/>
        </w:rPr>
        <w:t xml:space="preserve"> qui altère la perfusion glomérulaire avec baisse de la FG </w:t>
      </w:r>
      <w:r w:rsidRPr="00DF76A3"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Perte de protéines, hématurie et surcharge liquidienne.</w:t>
      </w:r>
    </w:p>
    <w:p w:rsidR="000D0E04" w:rsidRDefault="000D0E04" w:rsidP="000D0E04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Signe/symptômes : </w:t>
      </w:r>
    </w:p>
    <w:p w:rsidR="000D0E04" w:rsidRPr="00DA7940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Hématurie (100% des cas) </w:t>
      </w:r>
      <w:r w:rsidRPr="00DA7940">
        <w:rPr>
          <w:rFonts w:ascii="Arial" w:hAnsi="Arial"/>
          <w:sz w:val="20"/>
        </w:rPr>
        <w:t>dont 30% d’hématurie macroscopique (urines coca).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proofErr w:type="spellStart"/>
      <w:r w:rsidRPr="00315556">
        <w:rPr>
          <w:rFonts w:ascii="Arial" w:hAnsi="Arial"/>
          <w:b/>
          <w:sz w:val="20"/>
        </w:rPr>
        <w:t>Oedèm</w:t>
      </w:r>
      <w:r>
        <w:rPr>
          <w:rFonts w:ascii="Arial" w:hAnsi="Arial"/>
          <w:b/>
          <w:sz w:val="20"/>
        </w:rPr>
        <w:t>es</w:t>
      </w:r>
      <w:proofErr w:type="spellEnd"/>
      <w:r>
        <w:rPr>
          <w:rFonts w:ascii="Arial" w:hAnsi="Arial"/>
          <w:b/>
          <w:sz w:val="20"/>
        </w:rPr>
        <w:t xml:space="preserve"> (65-90% des cas)</w:t>
      </w:r>
      <w:r>
        <w:rPr>
          <w:rFonts w:ascii="Arial" w:hAnsi="Arial"/>
          <w:sz w:val="20"/>
        </w:rPr>
        <w:t xml:space="preserve"> du visage/mains par rétention de Na+ et H2O mais en général pas d’ascite. Risque par contre </w:t>
      </w:r>
      <w:r w:rsidRPr="00496503">
        <w:rPr>
          <w:rFonts w:ascii="Arial" w:hAnsi="Arial"/>
          <w:sz w:val="20"/>
          <w:u w:val="single"/>
        </w:rPr>
        <w:t>d’insuffisance cardiaque congestive</w:t>
      </w:r>
      <w:r>
        <w:rPr>
          <w:rFonts w:ascii="Arial" w:hAnsi="Arial"/>
          <w:sz w:val="20"/>
        </w:rPr>
        <w:t xml:space="preserve"> par surcharge liquidienne.</w:t>
      </w:r>
    </w:p>
    <w:p w:rsidR="000D0E04" w:rsidRPr="00635DC2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HTA</w:t>
      </w:r>
      <w:r w:rsidRPr="000F2577"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(60-80% des cas) </w:t>
      </w:r>
      <w:r w:rsidRPr="00635DC2">
        <w:rPr>
          <w:rFonts w:ascii="Arial" w:hAnsi="Arial"/>
          <w:sz w:val="20"/>
        </w:rPr>
        <w:t>possiblement sévère et nécessite un traitement dans 50% des cas.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 w:rsidRPr="008C7F30">
        <w:rPr>
          <w:rFonts w:ascii="Arial" w:hAnsi="Arial"/>
          <w:sz w:val="20"/>
        </w:rPr>
        <w:t>Céphalées et troubles visuels (dans 30% des cas)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Oligurie (50% des cas).</w:t>
      </w:r>
    </w:p>
    <w:p w:rsidR="000D0E04" w:rsidRPr="00635DC2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Fatigue, malaises, nausées, douleur dans les flancs</w:t>
      </w:r>
    </w:p>
    <w:p w:rsidR="000D0E04" w:rsidRDefault="000D0E04" w:rsidP="000D0E04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Diagnostic différentiel:</w:t>
      </w:r>
    </w:p>
    <w:p w:rsidR="000D0E04" w:rsidRPr="001E2AA5" w:rsidRDefault="000D0E04" w:rsidP="000D0E04">
      <w:pPr>
        <w:numPr>
          <w:ilvl w:val="2"/>
          <w:numId w:val="1"/>
        </w:numPr>
        <w:rPr>
          <w:rFonts w:ascii="Arial" w:hAnsi="Arial"/>
          <w:b/>
          <w:sz w:val="20"/>
        </w:rPr>
      </w:pPr>
      <w:r w:rsidRPr="001E2AA5">
        <w:rPr>
          <w:rFonts w:ascii="Arial" w:hAnsi="Arial"/>
          <w:b/>
          <w:sz w:val="20"/>
        </w:rPr>
        <w:t>SHU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Hénoch </w:t>
      </w:r>
      <w:proofErr w:type="spellStart"/>
      <w:r>
        <w:rPr>
          <w:rFonts w:ascii="Arial" w:hAnsi="Arial"/>
          <w:sz w:val="20"/>
        </w:rPr>
        <w:t>Schönliein</w:t>
      </w:r>
      <w:proofErr w:type="spellEnd"/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Lupus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Sd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Goodpasture</w:t>
      </w:r>
      <w:proofErr w:type="spellEnd"/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Cf. liste ci-dessous</w:t>
      </w:r>
    </w:p>
    <w:p w:rsidR="000D0E04" w:rsidRDefault="000D0E04" w:rsidP="000D0E04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Laboratoire :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 w:rsidRPr="00635DC2">
        <w:rPr>
          <w:rFonts w:ascii="Arial" w:hAnsi="Arial"/>
          <w:b/>
          <w:color w:val="FF0000"/>
          <w:sz w:val="20"/>
        </w:rPr>
        <w:t>Baisse du C3</w:t>
      </w:r>
      <w:r>
        <w:rPr>
          <w:rFonts w:ascii="Arial" w:hAnsi="Arial"/>
          <w:sz w:val="20"/>
        </w:rPr>
        <w:t xml:space="preserve"> </w:t>
      </w:r>
      <w:r w:rsidRPr="00635DC2">
        <w:rPr>
          <w:rFonts w:ascii="Arial" w:hAnsi="Arial"/>
          <w:sz w:val="20"/>
        </w:rPr>
        <w:t>dans 90% des cas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= meilleur test dans le contexte car participe à la pathogenèse MAIS n’est pas spécifique de la GN post GAS </w:t>
      </w:r>
      <w:r w:rsidRPr="00635DC2">
        <w:rPr>
          <w:rFonts w:ascii="Arial" w:hAnsi="Arial"/>
          <w:sz w:val="20"/>
        </w:rPr>
        <w:sym w:font="Wingdings" w:char="F0E8"/>
      </w:r>
      <w:r w:rsidRPr="00635DC2">
        <w:rPr>
          <w:rFonts w:ascii="Arial" w:hAnsi="Arial"/>
          <w:sz w:val="20"/>
        </w:rPr>
        <w:t xml:space="preserve"> un dosage du C4 qui n’est pas abaissé dans ce cas mais peut l’être dans les autres cau</w:t>
      </w:r>
      <w:r>
        <w:rPr>
          <w:rFonts w:ascii="Arial" w:hAnsi="Arial"/>
          <w:sz w:val="20"/>
        </w:rPr>
        <w:t>ses est utile. Reste bas pendant 8 semaines.</w:t>
      </w:r>
    </w:p>
    <w:p w:rsidR="000D0E04" w:rsidRPr="00167071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 w:rsidRPr="000623CB">
        <w:rPr>
          <w:rFonts w:ascii="Arial" w:hAnsi="Arial"/>
          <w:b/>
          <w:sz w:val="20"/>
        </w:rPr>
        <w:t>Streptotest ou/et culture de gorge</w:t>
      </w:r>
      <w:r>
        <w:rPr>
          <w:rFonts w:ascii="Arial" w:hAnsi="Arial"/>
          <w:sz w:val="20"/>
        </w:rPr>
        <w:t xml:space="preserve"> pour prouver la présence d’un GAS (positif dans 20-25% des cas).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 w:rsidRPr="00D0591F">
        <w:rPr>
          <w:rFonts w:ascii="Arial" w:hAnsi="Arial"/>
          <w:b/>
          <w:sz w:val="20"/>
        </w:rPr>
        <w:t>Augmentation des AC contre le GAS</w:t>
      </w:r>
      <w:r>
        <w:rPr>
          <w:rFonts w:ascii="Arial" w:hAnsi="Arial"/>
          <w:sz w:val="20"/>
        </w:rPr>
        <w:t xml:space="preserve"> (en tester plusieurs augmente la spécificité mais on aura toujours ad 25-50% de faux négatifs !)</w:t>
      </w:r>
    </w:p>
    <w:p w:rsidR="000D0E04" w:rsidRDefault="000D0E04" w:rsidP="000D0E04">
      <w:pPr>
        <w:numPr>
          <w:ilvl w:val="3"/>
          <w:numId w:val="1"/>
        </w:numPr>
        <w:rPr>
          <w:rFonts w:ascii="Arial" w:hAnsi="Arial"/>
          <w:sz w:val="20"/>
        </w:rPr>
      </w:pPr>
      <w:r w:rsidRPr="001F31CE">
        <w:rPr>
          <w:rFonts w:ascii="Arial" w:hAnsi="Arial"/>
          <w:b/>
          <w:sz w:val="20"/>
        </w:rPr>
        <w:t>ASLO</w:t>
      </w:r>
      <w:r>
        <w:rPr>
          <w:rFonts w:ascii="Arial" w:hAnsi="Arial"/>
          <w:sz w:val="20"/>
        </w:rPr>
        <w:t xml:space="preserve"> (qui se poursuit sur des dosages successifs et fait un pic après 2-4 semaines puis persistent ad 6 mois) mais si fait trop tôt ou si traitement précoce pharyngite à GAS par AB ou infection cutanée à GAS (liaison de la </w:t>
      </w:r>
      <w:proofErr w:type="spellStart"/>
      <w:r>
        <w:rPr>
          <w:rFonts w:ascii="Arial" w:hAnsi="Arial"/>
          <w:sz w:val="20"/>
        </w:rPr>
        <w:t>streptolysine</w:t>
      </w:r>
      <w:proofErr w:type="spellEnd"/>
      <w:r>
        <w:rPr>
          <w:rFonts w:ascii="Arial" w:hAnsi="Arial"/>
          <w:sz w:val="20"/>
        </w:rPr>
        <w:t xml:space="preserve"> par les lipides cutanés) = faux négatif !</w:t>
      </w:r>
    </w:p>
    <w:p w:rsidR="000D0E04" w:rsidRDefault="000D0E04" w:rsidP="000D0E04">
      <w:pPr>
        <w:numPr>
          <w:ilvl w:val="3"/>
          <w:numId w:val="1"/>
        </w:numPr>
        <w:rPr>
          <w:rFonts w:ascii="Arial" w:hAnsi="Arial"/>
          <w:sz w:val="20"/>
        </w:rPr>
      </w:pPr>
      <w:proofErr w:type="spellStart"/>
      <w:r w:rsidRPr="001F31CE">
        <w:rPr>
          <w:rFonts w:ascii="Arial" w:hAnsi="Arial"/>
          <w:b/>
          <w:sz w:val="20"/>
        </w:rPr>
        <w:t>DNAse</w:t>
      </w:r>
      <w:proofErr w:type="spellEnd"/>
      <w:r w:rsidRPr="001F31CE">
        <w:rPr>
          <w:rFonts w:ascii="Arial" w:hAnsi="Arial"/>
          <w:b/>
          <w:sz w:val="20"/>
        </w:rPr>
        <w:t xml:space="preserve"> B</w:t>
      </w:r>
      <w:r>
        <w:rPr>
          <w:rFonts w:ascii="Arial" w:hAnsi="Arial"/>
          <w:sz w:val="20"/>
        </w:rPr>
        <w:t> : augmente aussi bien dans les infections pharyngées que cutanées.</w:t>
      </w:r>
    </w:p>
    <w:p w:rsidR="000D0E04" w:rsidRPr="00AC762C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proofErr w:type="spellStart"/>
      <w:r w:rsidRPr="000623CB">
        <w:rPr>
          <w:rFonts w:ascii="Arial" w:hAnsi="Arial"/>
          <w:b/>
          <w:sz w:val="20"/>
        </w:rPr>
        <w:t>Stix</w:t>
      </w:r>
      <w:proofErr w:type="spellEnd"/>
      <w:r w:rsidRPr="000623CB">
        <w:rPr>
          <w:rFonts w:ascii="Arial" w:hAnsi="Arial"/>
          <w:b/>
          <w:sz w:val="20"/>
        </w:rPr>
        <w:t xml:space="preserve"> urinaire et sédiment </w:t>
      </w:r>
      <w:r>
        <w:rPr>
          <w:rFonts w:ascii="Arial" w:hAnsi="Arial"/>
          <w:sz w:val="20"/>
        </w:rPr>
        <w:t>: P</w:t>
      </w:r>
      <w:r w:rsidRPr="005F3765">
        <w:rPr>
          <w:rFonts w:ascii="Arial" w:hAnsi="Arial"/>
          <w:sz w:val="20"/>
        </w:rPr>
        <w:t>rotéinurie, hématurie</w:t>
      </w:r>
      <w:r>
        <w:rPr>
          <w:rFonts w:ascii="Arial" w:hAnsi="Arial"/>
          <w:sz w:val="20"/>
        </w:rPr>
        <w:t>, cylindre hyalins et GR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FSC (</w:t>
      </w:r>
      <w:r w:rsidRPr="00D0591F">
        <w:rPr>
          <w:rFonts w:ascii="Arial" w:hAnsi="Arial"/>
          <w:b/>
          <w:sz w:val="20"/>
        </w:rPr>
        <w:t>anémie</w:t>
      </w:r>
      <w:r>
        <w:rPr>
          <w:rFonts w:ascii="Arial" w:hAnsi="Arial"/>
          <w:sz w:val="20"/>
        </w:rPr>
        <w:t xml:space="preserve"> +/- thrombopénie)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Gazométrie : </w:t>
      </w:r>
      <w:r w:rsidRPr="00D0591F">
        <w:rPr>
          <w:rFonts w:ascii="Arial" w:hAnsi="Arial"/>
          <w:b/>
          <w:sz w:val="20"/>
        </w:rPr>
        <w:t>acidose</w:t>
      </w:r>
      <w:r>
        <w:rPr>
          <w:rFonts w:ascii="Arial" w:hAnsi="Arial"/>
          <w:sz w:val="20"/>
        </w:rPr>
        <w:t xml:space="preserve"> hyper </w:t>
      </w:r>
      <w:proofErr w:type="spellStart"/>
      <w:r>
        <w:rPr>
          <w:rFonts w:ascii="Arial" w:hAnsi="Arial"/>
          <w:sz w:val="20"/>
        </w:rPr>
        <w:t>kaliémique</w:t>
      </w:r>
      <w:proofErr w:type="spellEnd"/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Augmentation de la </w:t>
      </w:r>
      <w:r w:rsidRPr="00D0591F">
        <w:rPr>
          <w:rFonts w:ascii="Arial" w:hAnsi="Arial"/>
          <w:b/>
          <w:sz w:val="20"/>
        </w:rPr>
        <w:t>créatininémie</w:t>
      </w:r>
      <w:r>
        <w:rPr>
          <w:rFonts w:ascii="Arial" w:hAnsi="Arial"/>
          <w:sz w:val="20"/>
        </w:rPr>
        <w:t xml:space="preserve"> (que chez 20% des patients) qui reflète l’altération de la FG. </w:t>
      </w:r>
      <w:r w:rsidRPr="00AE1025">
        <w:rPr>
          <w:rFonts w:ascii="Arial" w:hAnsi="Arial"/>
          <w:color w:val="FF0000"/>
          <w:sz w:val="20"/>
        </w:rPr>
        <w:t>Si augmentation de &gt;50% il faudra la monitorer toutes les 12h</w:t>
      </w:r>
      <w:r>
        <w:rPr>
          <w:rFonts w:ascii="Arial" w:hAnsi="Arial"/>
          <w:color w:val="FF0000"/>
          <w:sz w:val="20"/>
        </w:rPr>
        <w:t xml:space="preserve"> et prendre l’avis d’un néphrologue.</w:t>
      </w:r>
    </w:p>
    <w:p w:rsidR="000D0E04" w:rsidRPr="00642E3B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Accumulation de K+ et urée par baisse de la FG. Hyponatrémie possible par dilution.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 w:rsidRPr="001E2AA5">
        <w:rPr>
          <w:rFonts w:ascii="Arial" w:hAnsi="Arial"/>
          <w:sz w:val="20"/>
        </w:rPr>
        <w:lastRenderedPageBreak/>
        <w:t>La biopsie rénale n’est pas utile si la clinique semble claire.</w:t>
      </w:r>
    </w:p>
    <w:p w:rsidR="000D0E04" w:rsidRDefault="000D0E04" w:rsidP="000D0E04">
      <w:pPr>
        <w:ind w:left="3119"/>
        <w:rPr>
          <w:rFonts w:ascii="Arial" w:hAnsi="Arial"/>
          <w:sz w:val="20"/>
        </w:rPr>
      </w:pPr>
      <w:r w:rsidRPr="00041699">
        <w:rPr>
          <w:rFonts w:ascii="Arial" w:hAnsi="Arial"/>
          <w:noProof/>
          <w:sz w:val="20"/>
          <w:lang w:val="fr-CH" w:eastAsia="fr-CH"/>
        </w:rPr>
        <w:drawing>
          <wp:inline distT="0" distB="0" distL="0" distR="0">
            <wp:extent cx="2757805" cy="3825875"/>
            <wp:effectExtent l="0" t="0" r="444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04" w:rsidRDefault="000D0E04" w:rsidP="000D0E04">
      <w:pPr>
        <w:ind w:left="1134"/>
        <w:rPr>
          <w:rFonts w:ascii="Arial" w:hAnsi="Arial"/>
          <w:sz w:val="20"/>
        </w:rPr>
      </w:pPr>
      <w:r w:rsidRPr="007D7B50">
        <w:rPr>
          <w:rFonts w:ascii="Arial" w:hAnsi="Arial"/>
          <w:noProof/>
          <w:sz w:val="20"/>
          <w:lang w:val="fr-CH" w:eastAsia="fr-CH"/>
        </w:rPr>
        <w:drawing>
          <wp:inline distT="0" distB="0" distL="0" distR="0">
            <wp:extent cx="4952365" cy="263334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04" w:rsidRPr="00635DC2" w:rsidRDefault="000D0E04" w:rsidP="000D0E04">
      <w:pPr>
        <w:numPr>
          <w:ilvl w:val="1"/>
          <w:numId w:val="1"/>
        </w:numPr>
        <w:rPr>
          <w:rFonts w:ascii="Arial" w:hAnsi="Arial"/>
          <w:sz w:val="20"/>
          <w:u w:val="single"/>
        </w:rPr>
      </w:pPr>
      <w:r w:rsidRPr="00635DC2">
        <w:rPr>
          <w:rFonts w:ascii="Arial" w:hAnsi="Arial"/>
          <w:sz w:val="20"/>
          <w:u w:val="single"/>
        </w:rPr>
        <w:t>Traitement</w:t>
      </w:r>
      <w:r>
        <w:rPr>
          <w:rFonts w:ascii="Arial" w:hAnsi="Arial"/>
          <w:sz w:val="20"/>
          <w:u w:val="single"/>
        </w:rPr>
        <w:t xml:space="preserve"> GN post GAS :</w:t>
      </w:r>
    </w:p>
    <w:p w:rsidR="000D0E04" w:rsidRPr="006B1C29" w:rsidRDefault="000D0E04" w:rsidP="000D0E04">
      <w:pPr>
        <w:numPr>
          <w:ilvl w:val="2"/>
          <w:numId w:val="1"/>
        </w:numPr>
        <w:rPr>
          <w:rFonts w:ascii="Arial" w:hAnsi="Arial"/>
          <w:b/>
          <w:sz w:val="20"/>
        </w:rPr>
      </w:pPr>
      <w:r w:rsidRPr="006B1C29">
        <w:rPr>
          <w:rFonts w:ascii="Arial" w:hAnsi="Arial"/>
          <w:b/>
          <w:sz w:val="20"/>
        </w:rPr>
        <w:t>Restriction sodée et liquid</w:t>
      </w:r>
      <w:r>
        <w:rPr>
          <w:rFonts w:ascii="Arial" w:hAnsi="Arial"/>
          <w:b/>
          <w:sz w:val="20"/>
        </w:rPr>
        <w:t>i</w:t>
      </w:r>
      <w:r w:rsidRPr="006B1C29">
        <w:rPr>
          <w:rFonts w:ascii="Arial" w:hAnsi="Arial"/>
          <w:b/>
          <w:sz w:val="20"/>
        </w:rPr>
        <w:t>enne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 w:rsidRPr="006B1C29">
        <w:rPr>
          <w:rFonts w:ascii="Arial" w:hAnsi="Arial"/>
          <w:b/>
          <w:sz w:val="20"/>
        </w:rPr>
        <w:t>Surveillance +/-traitement de l’HTA</w:t>
      </w:r>
      <w:r>
        <w:rPr>
          <w:rFonts w:ascii="Arial" w:hAnsi="Arial"/>
          <w:sz w:val="20"/>
        </w:rPr>
        <w:t xml:space="preserve"> si &gt; P99 ou symptômes neurologiques.</w:t>
      </w:r>
    </w:p>
    <w:p w:rsidR="000D0E04" w:rsidRPr="003D094C" w:rsidRDefault="000D0E04" w:rsidP="000D0E04">
      <w:pPr>
        <w:numPr>
          <w:ilvl w:val="3"/>
          <w:numId w:val="1"/>
        </w:numPr>
        <w:rPr>
          <w:rFonts w:ascii="Arial" w:hAnsi="Arial"/>
          <w:sz w:val="20"/>
        </w:rPr>
      </w:pPr>
      <w:r w:rsidRPr="00BE0678">
        <w:rPr>
          <w:rFonts w:ascii="Arial" w:hAnsi="Arial"/>
          <w:b/>
          <w:sz w:val="20"/>
        </w:rPr>
        <w:t>Furosémide</w:t>
      </w:r>
      <w:r>
        <w:rPr>
          <w:rFonts w:ascii="Arial" w:hAnsi="Arial"/>
          <w:sz w:val="20"/>
        </w:rPr>
        <w:t xml:space="preserve"> si </w:t>
      </w:r>
      <w:proofErr w:type="spellStart"/>
      <w:r>
        <w:rPr>
          <w:rFonts w:ascii="Arial" w:hAnsi="Arial"/>
          <w:sz w:val="20"/>
        </w:rPr>
        <w:t>oedèmes</w:t>
      </w:r>
      <w:proofErr w:type="spellEnd"/>
      <w:r>
        <w:rPr>
          <w:rFonts w:ascii="Arial" w:hAnsi="Arial"/>
          <w:sz w:val="20"/>
        </w:rPr>
        <w:t xml:space="preserve"> excessifs ou FG &lt; 30 ml/min/1,73 m</w:t>
      </w:r>
      <w:r w:rsidRPr="001B3702">
        <w:rPr>
          <w:rFonts w:ascii="Arial" w:hAnsi="Arial"/>
          <w:sz w:val="20"/>
          <w:vertAlign w:val="superscript"/>
        </w:rPr>
        <w:t>2</w:t>
      </w:r>
    </w:p>
    <w:p w:rsidR="000D0E04" w:rsidRDefault="000D0E04" w:rsidP="000D0E04">
      <w:pPr>
        <w:numPr>
          <w:ilvl w:val="3"/>
          <w:numId w:val="1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Thiazide</w:t>
      </w:r>
      <w:proofErr w:type="spellEnd"/>
      <w:r>
        <w:rPr>
          <w:rFonts w:ascii="Arial" w:hAnsi="Arial"/>
          <w:sz w:val="20"/>
        </w:rPr>
        <w:t xml:space="preserve"> diurétique pour formes légères. </w:t>
      </w:r>
    </w:p>
    <w:p w:rsidR="000D0E04" w:rsidRDefault="000D0E04" w:rsidP="000D0E04">
      <w:pPr>
        <w:numPr>
          <w:ilvl w:val="3"/>
          <w:numId w:val="1"/>
        </w:numPr>
        <w:rPr>
          <w:rFonts w:ascii="Arial" w:hAnsi="Arial"/>
          <w:sz w:val="20"/>
        </w:rPr>
      </w:pPr>
      <w:r w:rsidRPr="006B1C29">
        <w:rPr>
          <w:rFonts w:ascii="Arial" w:hAnsi="Arial"/>
          <w:sz w:val="20"/>
        </w:rPr>
        <w:t>Béta bloquants</w:t>
      </w:r>
      <w:r>
        <w:rPr>
          <w:rFonts w:ascii="Arial" w:hAnsi="Arial"/>
          <w:sz w:val="20"/>
        </w:rPr>
        <w:t xml:space="preserve"> +/- a</w:t>
      </w:r>
      <w:r w:rsidRPr="00A653D2">
        <w:rPr>
          <w:rFonts w:ascii="Arial" w:hAnsi="Arial"/>
          <w:sz w:val="20"/>
        </w:rPr>
        <w:t>nticalciques (</w:t>
      </w:r>
      <w:r>
        <w:rPr>
          <w:rFonts w:ascii="Arial" w:hAnsi="Arial"/>
          <w:sz w:val="20"/>
        </w:rPr>
        <w:t>CAVE fai</w:t>
      </w:r>
      <w:r w:rsidRPr="00A653D2">
        <w:rPr>
          <w:rFonts w:ascii="Arial" w:hAnsi="Arial"/>
          <w:sz w:val="20"/>
        </w:rPr>
        <w:t>t de la rétention hydrique</w:t>
      </w:r>
      <w:r>
        <w:rPr>
          <w:rFonts w:ascii="Arial" w:hAnsi="Arial"/>
          <w:sz w:val="20"/>
        </w:rPr>
        <w:t xml:space="preserve"> et hyperkaliémie</w:t>
      </w:r>
      <w:r w:rsidRPr="00A653D2">
        <w:rPr>
          <w:rFonts w:ascii="Arial" w:hAnsi="Arial"/>
          <w:sz w:val="20"/>
        </w:rPr>
        <w:t>)</w:t>
      </w:r>
    </w:p>
    <w:p w:rsidR="000D0E04" w:rsidRPr="00A653D2" w:rsidRDefault="000D0E04" w:rsidP="000D0E04">
      <w:pPr>
        <w:numPr>
          <w:ilvl w:val="3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IECA</w:t>
      </w:r>
    </w:p>
    <w:p w:rsidR="000D0E04" w:rsidRPr="003D094C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 w:rsidRPr="003D094C">
        <w:rPr>
          <w:rFonts w:ascii="Arial" w:hAnsi="Arial"/>
          <w:sz w:val="20"/>
        </w:rPr>
        <w:t xml:space="preserve">Surveillance : Na, K, poids, </w:t>
      </w:r>
      <w:proofErr w:type="spellStart"/>
      <w:r w:rsidRPr="003D094C">
        <w:rPr>
          <w:rFonts w:ascii="Arial" w:hAnsi="Arial"/>
          <w:sz w:val="20"/>
        </w:rPr>
        <w:t>oedème</w:t>
      </w:r>
      <w:proofErr w:type="spellEnd"/>
      <w:r w:rsidRPr="003D094C">
        <w:rPr>
          <w:rFonts w:ascii="Arial" w:hAnsi="Arial"/>
          <w:sz w:val="20"/>
        </w:rPr>
        <w:t>, diurèse</w:t>
      </w:r>
      <w:r>
        <w:rPr>
          <w:rFonts w:ascii="Arial" w:hAnsi="Arial"/>
          <w:sz w:val="20"/>
        </w:rPr>
        <w:t xml:space="preserve"> et traitement de l’hyperkaliémie au besoin par résines échangeuses d’ions.</w:t>
      </w:r>
    </w:p>
    <w:p w:rsidR="000D0E04" w:rsidRDefault="000D0E04" w:rsidP="000D0E04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Evolution classique: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L’évolution est en général bonne et le passage à la chronicité est rare.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Oedème</w:t>
      </w:r>
      <w:proofErr w:type="spellEnd"/>
      <w:r>
        <w:rPr>
          <w:rFonts w:ascii="Arial" w:hAnsi="Arial"/>
          <w:sz w:val="20"/>
        </w:rPr>
        <w:t xml:space="preserve"> et HTA ad 7-10 jours</w:t>
      </w:r>
    </w:p>
    <w:p w:rsidR="000D0E04" w:rsidRPr="001F31CE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Récupération fonction rénale et créatinine en 3-4 semaines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H</w:t>
      </w:r>
      <w:r w:rsidRPr="005F3765">
        <w:rPr>
          <w:rFonts w:ascii="Arial" w:hAnsi="Arial"/>
          <w:sz w:val="20"/>
        </w:rPr>
        <w:t xml:space="preserve">ématurie </w:t>
      </w:r>
      <w:r>
        <w:rPr>
          <w:rFonts w:ascii="Arial" w:hAnsi="Arial"/>
          <w:sz w:val="20"/>
        </w:rPr>
        <w:t>macroscopique ad 10 jours et microscopique ad</w:t>
      </w:r>
      <w:r w:rsidRPr="005F3765">
        <w:rPr>
          <w:rFonts w:ascii="Arial" w:hAnsi="Arial"/>
          <w:sz w:val="20"/>
        </w:rPr>
        <w:t xml:space="preserve"> 3-4 mois</w:t>
      </w:r>
      <w:r>
        <w:rPr>
          <w:rFonts w:ascii="Arial" w:hAnsi="Arial"/>
          <w:sz w:val="20"/>
        </w:rPr>
        <w:t xml:space="preserve"> (voir années)</w:t>
      </w:r>
      <w:r w:rsidRPr="005F3765">
        <w:rPr>
          <w:rFonts w:ascii="Arial" w:hAnsi="Arial"/>
          <w:sz w:val="20"/>
        </w:rPr>
        <w:t xml:space="preserve">. 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 w:rsidRPr="005F3765">
        <w:rPr>
          <w:rFonts w:ascii="Arial" w:hAnsi="Arial"/>
          <w:sz w:val="20"/>
        </w:rPr>
        <w:t>La protéinurie ad 3 ans !</w:t>
      </w:r>
      <w:r>
        <w:rPr>
          <w:rFonts w:ascii="Arial" w:hAnsi="Arial"/>
          <w:sz w:val="20"/>
        </w:rPr>
        <w:t xml:space="preserve"> </w:t>
      </w:r>
    </w:p>
    <w:p w:rsidR="000D0E04" w:rsidRDefault="000D0E04" w:rsidP="000D0E04">
      <w:pPr>
        <w:numPr>
          <w:ilvl w:val="2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Récidives en cas d’infection possibles mais rares.</w:t>
      </w:r>
    </w:p>
    <w:p w:rsidR="002C34A3" w:rsidRDefault="002C34A3"/>
    <w:sectPr w:rsidR="002C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23F2E"/>
    <w:multiLevelType w:val="hybridMultilevel"/>
    <w:tmpl w:val="09A2E2FA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D4CDA44">
      <w:numFmt w:val="bullet"/>
      <w:lvlText w:val=""/>
      <w:lvlJc w:val="left"/>
      <w:pPr>
        <w:ind w:left="3780" w:hanging="360"/>
      </w:pPr>
      <w:rPr>
        <w:rFonts w:ascii="Wingdings" w:eastAsia="Times New Roman" w:hAnsi="Wingdings" w:cs="Times New Roma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04"/>
    <w:rsid w:val="000D0E04"/>
    <w:rsid w:val="002C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21FAD9-B83F-47D5-8855-BBF33846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78401821.dotm</Template>
  <TotalTime>1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Manuel</dc:creator>
  <cp:keywords/>
  <dc:description/>
  <cp:lastModifiedBy>Martinez Manuel</cp:lastModifiedBy>
  <cp:revision>1</cp:revision>
  <dcterms:created xsi:type="dcterms:W3CDTF">2022-05-31T12:20:00Z</dcterms:created>
  <dcterms:modified xsi:type="dcterms:W3CDTF">2022-05-31T12:21:00Z</dcterms:modified>
</cp:coreProperties>
</file>