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F139A" w14:textId="75EFDF24" w:rsidR="0018505F" w:rsidRPr="00386160" w:rsidRDefault="004B541B" w:rsidP="00D40857">
      <w:pPr>
        <w:jc w:val="center"/>
        <w:rPr>
          <w:b/>
        </w:rPr>
      </w:pPr>
      <w:r>
        <w:rPr>
          <w:b/>
        </w:rPr>
        <w:t>SYNDROME DE</w:t>
      </w:r>
      <w:r w:rsidRPr="00386160">
        <w:rPr>
          <w:b/>
        </w:rPr>
        <w:t xml:space="preserve"> RENUTRITION</w:t>
      </w:r>
    </w:p>
    <w:p w14:paraId="11DF00FE" w14:textId="30301014" w:rsidR="00D04A4A" w:rsidRDefault="00E44ACB" w:rsidP="00D04A4A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  <w:r w:rsidRPr="00E44ACB">
        <w:rPr>
          <w:i/>
          <w:sz w:val="20"/>
          <w:szCs w:val="20"/>
        </w:rPr>
        <w:t>Prise en charge des enfants sévèrement dénu</w:t>
      </w:r>
      <w:r>
        <w:rPr>
          <w:i/>
          <w:sz w:val="20"/>
          <w:szCs w:val="20"/>
        </w:rPr>
        <w:t xml:space="preserve">tris et syndrome de </w:t>
      </w:r>
      <w:proofErr w:type="spellStart"/>
      <w:r>
        <w:rPr>
          <w:i/>
          <w:sz w:val="20"/>
          <w:szCs w:val="20"/>
        </w:rPr>
        <w:t>renutrition</w:t>
      </w:r>
      <w:proofErr w:type="spellEnd"/>
      <w:r>
        <w:rPr>
          <w:i/>
          <w:sz w:val="20"/>
          <w:szCs w:val="20"/>
        </w:rPr>
        <w:t xml:space="preserve"> </w:t>
      </w:r>
      <w:r w:rsidRPr="00E44ACB">
        <w:rPr>
          <w:i/>
          <w:sz w:val="20"/>
          <w:szCs w:val="20"/>
        </w:rPr>
        <w:t xml:space="preserve">(« </w:t>
      </w:r>
      <w:proofErr w:type="spellStart"/>
      <w:r w:rsidRPr="00E44ACB">
        <w:rPr>
          <w:i/>
          <w:sz w:val="20"/>
          <w:szCs w:val="20"/>
        </w:rPr>
        <w:t>refeeding</w:t>
      </w:r>
      <w:proofErr w:type="spellEnd"/>
      <w:r w:rsidRPr="00E44ACB">
        <w:rPr>
          <w:i/>
          <w:sz w:val="20"/>
          <w:szCs w:val="20"/>
        </w:rPr>
        <w:t xml:space="preserve"> syndrome »)</w:t>
      </w:r>
      <w:r w:rsidR="00D04A4A">
        <w:rPr>
          <w:i/>
          <w:sz w:val="20"/>
          <w:szCs w:val="20"/>
        </w:rPr>
        <w:t>, CHUV</w:t>
      </w:r>
    </w:p>
    <w:p w14:paraId="56F4672C" w14:textId="69F630BF" w:rsidR="00CD390A" w:rsidRPr="00CD390A" w:rsidRDefault="00CD390A" w:rsidP="00CD390A">
      <w:pPr>
        <w:jc w:val="center"/>
        <w:rPr>
          <w:i/>
          <w:sz w:val="20"/>
          <w:szCs w:val="20"/>
        </w:rPr>
      </w:pPr>
      <w:r w:rsidRPr="00CD390A">
        <w:rPr>
          <w:i/>
          <w:sz w:val="20"/>
          <w:szCs w:val="20"/>
        </w:rPr>
        <w:t>Schweiz Med Forum 2005</w:t>
      </w:r>
      <w:proofErr w:type="gramStart"/>
      <w:r w:rsidRPr="00CD390A">
        <w:rPr>
          <w:i/>
          <w:sz w:val="20"/>
          <w:szCs w:val="20"/>
        </w:rPr>
        <w:t>;5:1163</w:t>
      </w:r>
      <w:proofErr w:type="gramEnd"/>
      <w:r w:rsidRPr="00CD390A">
        <w:rPr>
          <w:i/>
          <w:sz w:val="20"/>
          <w:szCs w:val="20"/>
        </w:rPr>
        <w:t>–1170</w:t>
      </w:r>
    </w:p>
    <w:p w14:paraId="3EE59F5D" w14:textId="77777777" w:rsidR="00D04A4A" w:rsidRDefault="00D04A4A" w:rsidP="003001DF">
      <w:pPr>
        <w:jc w:val="center"/>
        <w:rPr>
          <w:rFonts w:ascii="Times New Roman" w:hAnsi="Times New Roman" w:cs="Times New Roman"/>
          <w:color w:val="231F20"/>
          <w:sz w:val="20"/>
          <w:szCs w:val="20"/>
          <w:lang w:val="en-US"/>
        </w:rPr>
      </w:pPr>
      <w:proofErr w:type="spellStart"/>
      <w:r w:rsidRPr="00D04A4A">
        <w:rPr>
          <w:rFonts w:ascii="Times New Roman" w:hAnsi="Times New Roman" w:cs="Times New Roman"/>
          <w:color w:val="231F20"/>
          <w:sz w:val="20"/>
          <w:szCs w:val="20"/>
          <w:lang w:val="en-US"/>
        </w:rPr>
        <w:t>Hépato</w:t>
      </w:r>
      <w:proofErr w:type="spellEnd"/>
      <w:r w:rsidRPr="00D04A4A">
        <w:rPr>
          <w:rFonts w:ascii="Times New Roman" w:hAnsi="Times New Roman" w:cs="Times New Roman"/>
          <w:color w:val="231F20"/>
          <w:sz w:val="20"/>
          <w:szCs w:val="20"/>
          <w:lang w:val="en-US"/>
        </w:rPr>
        <w:t xml:space="preserve">-Gastro, vol. 14, n°3, </w:t>
      </w:r>
      <w:proofErr w:type="spellStart"/>
      <w:r w:rsidRPr="00D04A4A">
        <w:rPr>
          <w:rFonts w:ascii="Times New Roman" w:hAnsi="Times New Roman" w:cs="Times New Roman"/>
          <w:color w:val="231F20"/>
          <w:sz w:val="20"/>
          <w:szCs w:val="20"/>
          <w:lang w:val="en-US"/>
        </w:rPr>
        <w:t>mai-juin</w:t>
      </w:r>
      <w:proofErr w:type="spellEnd"/>
      <w:r w:rsidRPr="00D04A4A">
        <w:rPr>
          <w:rFonts w:ascii="Times New Roman" w:hAnsi="Times New Roman" w:cs="Times New Roman"/>
          <w:color w:val="231F20"/>
          <w:sz w:val="20"/>
          <w:szCs w:val="20"/>
          <w:lang w:val="en-US"/>
        </w:rPr>
        <w:t xml:space="preserve"> 2007 </w:t>
      </w:r>
    </w:p>
    <w:p w14:paraId="7D3F10F6" w14:textId="0A1F934C" w:rsidR="0039668F" w:rsidRPr="0039668F" w:rsidRDefault="0039668F" w:rsidP="003001DF">
      <w:pPr>
        <w:jc w:val="center"/>
        <w:rPr>
          <w:i/>
          <w:sz w:val="20"/>
          <w:szCs w:val="20"/>
        </w:rPr>
      </w:pPr>
      <w:r w:rsidRPr="0039668F">
        <w:rPr>
          <w:i/>
          <w:sz w:val="20"/>
          <w:szCs w:val="20"/>
        </w:rPr>
        <w:t>Nutrition clinique et métabolisme 25 (2011) 86–90</w:t>
      </w:r>
    </w:p>
    <w:p w14:paraId="17C9EF9D" w14:textId="777AB4E9" w:rsidR="002503F9" w:rsidRDefault="002503F9" w:rsidP="003001DF">
      <w:pPr>
        <w:jc w:val="center"/>
        <w:rPr>
          <w:i/>
          <w:sz w:val="20"/>
          <w:szCs w:val="20"/>
        </w:rPr>
      </w:pPr>
      <w:r w:rsidRPr="00386160">
        <w:rPr>
          <w:i/>
          <w:sz w:val="20"/>
          <w:szCs w:val="20"/>
        </w:rPr>
        <w:t>Nutrition clinique et métabolisme 27 (2013) 109–112)</w:t>
      </w:r>
    </w:p>
    <w:p w14:paraId="77B2BB76" w14:textId="504CFA05" w:rsidR="006E4D6A" w:rsidRPr="00386160" w:rsidRDefault="006E4D6A" w:rsidP="006E4D6A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POCKET BOOK OF </w:t>
      </w:r>
      <w:proofErr w:type="spellStart"/>
      <w:r>
        <w:rPr>
          <w:i/>
          <w:sz w:val="20"/>
          <w:szCs w:val="20"/>
        </w:rPr>
        <w:t>Hospital</w:t>
      </w:r>
      <w:proofErr w:type="spellEnd"/>
      <w:r>
        <w:rPr>
          <w:i/>
          <w:sz w:val="20"/>
          <w:szCs w:val="20"/>
        </w:rPr>
        <w:t xml:space="preserve"> care </w:t>
      </w:r>
      <w:r w:rsidRPr="006E4D6A">
        <w:rPr>
          <w:i/>
          <w:sz w:val="20"/>
          <w:szCs w:val="20"/>
        </w:rPr>
        <w:t xml:space="preserve">for </w:t>
      </w:r>
      <w:proofErr w:type="spellStart"/>
      <w:r w:rsidRPr="006E4D6A">
        <w:rPr>
          <w:i/>
          <w:sz w:val="20"/>
          <w:szCs w:val="20"/>
        </w:rPr>
        <w:t>children</w:t>
      </w:r>
      <w:proofErr w:type="spellEnd"/>
      <w:r>
        <w:rPr>
          <w:i/>
          <w:sz w:val="20"/>
          <w:szCs w:val="20"/>
        </w:rPr>
        <w:t>, OMS 2013</w:t>
      </w:r>
    </w:p>
    <w:p w14:paraId="4BAFE69E" w14:textId="1ECE8379" w:rsidR="00270333" w:rsidRDefault="003001DF" w:rsidP="003001DF">
      <w:pPr>
        <w:jc w:val="center"/>
        <w:rPr>
          <w:i/>
          <w:sz w:val="20"/>
          <w:szCs w:val="20"/>
        </w:rPr>
      </w:pPr>
      <w:proofErr w:type="spellStart"/>
      <w:r w:rsidRPr="00386160">
        <w:rPr>
          <w:i/>
          <w:sz w:val="20"/>
          <w:szCs w:val="20"/>
        </w:rPr>
        <w:t>Pediatrics</w:t>
      </w:r>
      <w:proofErr w:type="spellEnd"/>
      <w:r w:rsidRPr="00386160">
        <w:rPr>
          <w:i/>
          <w:sz w:val="20"/>
          <w:szCs w:val="20"/>
        </w:rPr>
        <w:t xml:space="preserve"> in </w:t>
      </w:r>
      <w:proofErr w:type="spellStart"/>
      <w:r w:rsidRPr="00386160">
        <w:rPr>
          <w:i/>
          <w:sz w:val="20"/>
          <w:szCs w:val="20"/>
        </w:rPr>
        <w:t>Review</w:t>
      </w:r>
      <w:proofErr w:type="spellEnd"/>
      <w:r w:rsidRPr="00386160">
        <w:rPr>
          <w:i/>
          <w:sz w:val="20"/>
          <w:szCs w:val="20"/>
        </w:rPr>
        <w:t>, Vol. 37 No. 12 DECEMBER 2016</w:t>
      </w:r>
      <w:r w:rsidR="006E4D6A">
        <w:rPr>
          <w:i/>
          <w:sz w:val="20"/>
          <w:szCs w:val="20"/>
        </w:rPr>
        <w:t>,</w:t>
      </w:r>
      <w:r w:rsidRPr="00386160">
        <w:rPr>
          <w:i/>
          <w:sz w:val="20"/>
          <w:szCs w:val="20"/>
        </w:rPr>
        <w:t xml:space="preserve"> 517</w:t>
      </w:r>
    </w:p>
    <w:p w14:paraId="362F15EA" w14:textId="77777777" w:rsidR="00270333" w:rsidRPr="00386160" w:rsidRDefault="00270333"/>
    <w:p w14:paraId="476875AB" w14:textId="19834CAC" w:rsidR="00270333" w:rsidRPr="00386160" w:rsidRDefault="00951BE2">
      <w:pPr>
        <w:rPr>
          <w:b/>
        </w:rPr>
      </w:pPr>
      <w:r w:rsidRPr="00386160">
        <w:rPr>
          <w:b/>
        </w:rPr>
        <w:t>QUAND Y PENSER ?</w:t>
      </w:r>
    </w:p>
    <w:p w14:paraId="72C17436" w14:textId="118605CD" w:rsidR="002B465F" w:rsidRDefault="002B465F" w:rsidP="00270333">
      <w:pPr>
        <w:pStyle w:val="ListParagraph"/>
        <w:numPr>
          <w:ilvl w:val="0"/>
          <w:numId w:val="1"/>
        </w:numPr>
      </w:pPr>
      <w:r>
        <w:t>Après perte de poids </w:t>
      </w:r>
      <w:r w:rsidR="004B541B">
        <w:t>rapide ou importante</w:t>
      </w:r>
      <w:r>
        <w:t xml:space="preserve">: </w:t>
      </w:r>
    </w:p>
    <w:p w14:paraId="2851F594" w14:textId="02942199" w:rsidR="00530EB7" w:rsidRDefault="00530EB7" w:rsidP="002B465F">
      <w:pPr>
        <w:pStyle w:val="ListParagraph"/>
        <w:numPr>
          <w:ilvl w:val="1"/>
          <w:numId w:val="1"/>
        </w:numPr>
      </w:pPr>
      <w:r>
        <w:t>Adolescent</w:t>
      </w:r>
      <w:r w:rsidR="002B465F">
        <w:t>s</w:t>
      </w:r>
      <w:r>
        <w:t> :</w:t>
      </w:r>
    </w:p>
    <w:p w14:paraId="42A484B2" w14:textId="77777777" w:rsidR="001C53D9" w:rsidRDefault="00270333" w:rsidP="002B465F">
      <w:pPr>
        <w:pStyle w:val="ListParagraph"/>
        <w:numPr>
          <w:ilvl w:val="2"/>
          <w:numId w:val="1"/>
        </w:numPr>
      </w:pPr>
      <w:r w:rsidRPr="00386160">
        <w:t xml:space="preserve">Perte de poids de </w:t>
      </w:r>
    </w:p>
    <w:p w14:paraId="0D76FBCA" w14:textId="3C837B41" w:rsidR="00270333" w:rsidRDefault="00270333" w:rsidP="002B465F">
      <w:pPr>
        <w:pStyle w:val="ListParagraph"/>
        <w:numPr>
          <w:ilvl w:val="3"/>
          <w:numId w:val="1"/>
        </w:numPr>
      </w:pPr>
      <w:r w:rsidRPr="00386160">
        <w:t xml:space="preserve">&gt; </w:t>
      </w:r>
      <w:r w:rsidR="007B791A" w:rsidRPr="00386160">
        <w:t>10% en 1-2 mois</w:t>
      </w:r>
    </w:p>
    <w:p w14:paraId="569F91AD" w14:textId="1D430E34" w:rsidR="001C53D9" w:rsidRPr="00386160" w:rsidRDefault="001C53D9" w:rsidP="002B465F">
      <w:pPr>
        <w:pStyle w:val="ListParagraph"/>
        <w:numPr>
          <w:ilvl w:val="3"/>
          <w:numId w:val="1"/>
        </w:numPr>
      </w:pPr>
      <w:r>
        <w:t>&gt;15% sur 3-6 mois</w:t>
      </w:r>
    </w:p>
    <w:p w14:paraId="0817C2D3" w14:textId="71E34795" w:rsidR="00270333" w:rsidRDefault="00270333" w:rsidP="002B465F">
      <w:pPr>
        <w:pStyle w:val="ListParagraph"/>
        <w:numPr>
          <w:ilvl w:val="2"/>
          <w:numId w:val="1"/>
        </w:numPr>
      </w:pPr>
      <w:r w:rsidRPr="00386160">
        <w:t>BMI &lt; 15</w:t>
      </w:r>
      <w:r w:rsidR="007B791A" w:rsidRPr="00386160">
        <w:t>,1</w:t>
      </w:r>
    </w:p>
    <w:p w14:paraId="03C5C8F4" w14:textId="77777777" w:rsidR="00530EB7" w:rsidRDefault="00530EB7" w:rsidP="002B465F">
      <w:pPr>
        <w:pStyle w:val="ListParagraph"/>
        <w:numPr>
          <w:ilvl w:val="1"/>
          <w:numId w:val="1"/>
        </w:numPr>
      </w:pPr>
      <w:r>
        <w:t xml:space="preserve">Enfant : </w:t>
      </w:r>
    </w:p>
    <w:p w14:paraId="530A5334" w14:textId="3FDBA832" w:rsidR="00530EB7" w:rsidRDefault="00530EB7" w:rsidP="002B465F">
      <w:pPr>
        <w:pStyle w:val="ListParagraph"/>
        <w:numPr>
          <w:ilvl w:val="2"/>
          <w:numId w:val="1"/>
        </w:numPr>
      </w:pPr>
      <w:r>
        <w:t xml:space="preserve">Perte de poids &gt; 20% </w:t>
      </w:r>
    </w:p>
    <w:p w14:paraId="7192DB64" w14:textId="4E26C18A" w:rsidR="00530EB7" w:rsidRPr="00AC3626" w:rsidRDefault="00530EB7" w:rsidP="002B465F">
      <w:pPr>
        <w:pStyle w:val="ListParagraph"/>
        <w:numPr>
          <w:ilvl w:val="2"/>
          <w:numId w:val="1"/>
        </w:numPr>
      </w:pPr>
      <w:r w:rsidRPr="00386160">
        <w:t xml:space="preserve">Poids &lt; 20% par rapport au poids d’un enfant sain </w:t>
      </w:r>
      <w:r w:rsidRPr="00530EB7">
        <w:rPr>
          <w:u w:val="single"/>
        </w:rPr>
        <w:t>de même taille</w:t>
      </w:r>
    </w:p>
    <w:p w14:paraId="12F7D425" w14:textId="0DF58C06" w:rsidR="00AC3626" w:rsidRPr="00AC3626" w:rsidRDefault="00AC3626" w:rsidP="002B465F">
      <w:pPr>
        <w:pStyle w:val="ListParagraph"/>
        <w:numPr>
          <w:ilvl w:val="2"/>
          <w:numId w:val="1"/>
        </w:numPr>
      </w:pPr>
      <w:r w:rsidRPr="00AC3626">
        <w:t xml:space="preserve">Circonférence </w:t>
      </w:r>
      <w:r>
        <w:t xml:space="preserve">à </w:t>
      </w:r>
      <w:proofErr w:type="spellStart"/>
      <w:r>
        <w:t>mi-humérus</w:t>
      </w:r>
      <w:proofErr w:type="spellEnd"/>
      <w:r w:rsidRPr="00AC3626">
        <w:t xml:space="preserve"> &lt; 11,5 cm</w:t>
      </w:r>
      <w:r>
        <w:t xml:space="preserve">  ou Poids attendue selon taille &lt; 3 DS (petit livre de l’OMS)</w:t>
      </w:r>
    </w:p>
    <w:p w14:paraId="60D71A7F" w14:textId="2F027350" w:rsidR="00530EB7" w:rsidRDefault="00530EB7" w:rsidP="00530EB7">
      <w:pPr>
        <w:pStyle w:val="ListParagraph"/>
        <w:numPr>
          <w:ilvl w:val="0"/>
          <w:numId w:val="1"/>
        </w:numPr>
      </w:pPr>
      <w:r w:rsidRPr="00386160">
        <w:t>Anorexie me</w:t>
      </w:r>
      <w:r>
        <w:t>ntale, dépression, toxicomanie</w:t>
      </w:r>
      <w:r w:rsidR="004F4867">
        <w:t>, OH</w:t>
      </w:r>
    </w:p>
    <w:p w14:paraId="286C8D11" w14:textId="37205793" w:rsidR="00530EB7" w:rsidRDefault="00530EB7" w:rsidP="00530EB7">
      <w:pPr>
        <w:pStyle w:val="ListParagraph"/>
        <w:numPr>
          <w:ilvl w:val="0"/>
          <w:numId w:val="1"/>
        </w:numPr>
      </w:pPr>
      <w:r>
        <w:t xml:space="preserve">Apports </w:t>
      </w:r>
      <w:r w:rsidRPr="00530EB7">
        <w:rPr>
          <w:u w:val="single"/>
        </w:rPr>
        <w:t>nuls</w:t>
      </w:r>
      <w:r>
        <w:t xml:space="preserve"> depuis &gt; 10 jours</w:t>
      </w:r>
    </w:p>
    <w:p w14:paraId="7717588A" w14:textId="69740340" w:rsidR="007B791A" w:rsidRPr="00386160" w:rsidRDefault="007B791A" w:rsidP="007B791A">
      <w:pPr>
        <w:pStyle w:val="ListParagraph"/>
        <w:numPr>
          <w:ilvl w:val="0"/>
          <w:numId w:val="1"/>
        </w:numPr>
      </w:pPr>
      <w:r w:rsidRPr="00386160">
        <w:t>Patients « Terre des Hommes » avec cardiopathie, kwashiorkor,</w:t>
      </w:r>
      <w:r w:rsidR="00AC3626" w:rsidRPr="00AC3626">
        <w:rPr>
          <w:noProof/>
          <w:lang w:val="en-US"/>
        </w:rPr>
        <w:t xml:space="preserve"> </w:t>
      </w:r>
      <w:r w:rsidRPr="00386160">
        <w:t xml:space="preserve"> marasme</w:t>
      </w:r>
      <w:r w:rsidR="00AC3626">
        <w:t xml:space="preserve">, </w:t>
      </w:r>
      <w:proofErr w:type="spellStart"/>
      <w:r w:rsidR="00AC3626">
        <w:t>oedèmes</w:t>
      </w:r>
      <w:proofErr w:type="spellEnd"/>
      <w:r w:rsidR="00AC3626" w:rsidRPr="00AC3626">
        <w:t xml:space="preserve"> </w:t>
      </w:r>
    </w:p>
    <w:p w14:paraId="2763F659" w14:textId="26B50419" w:rsidR="007B791A" w:rsidRPr="00386160" w:rsidRDefault="007B791A" w:rsidP="007B791A">
      <w:pPr>
        <w:pStyle w:val="ListParagraph"/>
        <w:numPr>
          <w:ilvl w:val="0"/>
          <w:numId w:val="1"/>
        </w:numPr>
      </w:pPr>
      <w:r w:rsidRPr="00386160">
        <w:t>Retard de croissance (négli</w:t>
      </w:r>
      <w:r w:rsidR="00815640" w:rsidRPr="00386160">
        <w:t>gence/maltraitance, malabsorption)</w:t>
      </w:r>
      <w:r w:rsidRPr="00386160">
        <w:t xml:space="preserve"> </w:t>
      </w:r>
    </w:p>
    <w:p w14:paraId="18646AE5" w14:textId="237AF031" w:rsidR="007B791A" w:rsidRPr="00386160" w:rsidRDefault="007B791A" w:rsidP="00270333">
      <w:pPr>
        <w:pStyle w:val="ListParagraph"/>
        <w:numPr>
          <w:ilvl w:val="0"/>
          <w:numId w:val="1"/>
        </w:numPr>
      </w:pPr>
      <w:r w:rsidRPr="00386160">
        <w:t>Malabsorption chronique (IBD, pancréatite, intestin court</w:t>
      </w:r>
      <w:r w:rsidR="00AC3626">
        <w:t>, diarrhées/vomissements chroniques</w:t>
      </w:r>
      <w:r w:rsidRPr="00386160">
        <w:t>)</w:t>
      </w:r>
    </w:p>
    <w:p w14:paraId="36AED2F1" w14:textId="3E514893" w:rsidR="007B791A" w:rsidRPr="00386160" w:rsidRDefault="007B791A" w:rsidP="00270333">
      <w:pPr>
        <w:pStyle w:val="ListParagraph"/>
        <w:numPr>
          <w:ilvl w:val="0"/>
          <w:numId w:val="1"/>
        </w:numPr>
      </w:pPr>
      <w:r w:rsidRPr="00386160">
        <w:t>Maladies chroniques (HIV, mucoviscidose, cardiopathie, patients oncologiques)</w:t>
      </w:r>
    </w:p>
    <w:p w14:paraId="39D79FBF" w14:textId="7E71AE44" w:rsidR="007B791A" w:rsidRPr="00386160" w:rsidRDefault="007B791A" w:rsidP="00270333">
      <w:pPr>
        <w:pStyle w:val="ListParagraph"/>
        <w:numPr>
          <w:ilvl w:val="0"/>
          <w:numId w:val="1"/>
        </w:numPr>
      </w:pPr>
      <w:r w:rsidRPr="00386160">
        <w:t>Etc. (cf. tableau)</w:t>
      </w:r>
    </w:p>
    <w:p w14:paraId="3231EC4F" w14:textId="6A375F1C" w:rsidR="007B791A" w:rsidRPr="00386160" w:rsidRDefault="00AC3626" w:rsidP="004F4867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5105139" wp14:editId="6948B17A">
            <wp:simplePos x="0" y="0"/>
            <wp:positionH relativeFrom="column">
              <wp:posOffset>3429000</wp:posOffset>
            </wp:positionH>
            <wp:positionV relativeFrom="paragraph">
              <wp:posOffset>74295</wp:posOffset>
            </wp:positionV>
            <wp:extent cx="2036445" cy="2294255"/>
            <wp:effectExtent l="0" t="0" r="0" b="0"/>
            <wp:wrapThrough wrapText="bothSides">
              <wp:wrapPolygon edited="0">
                <wp:start x="0" y="0"/>
                <wp:lineTo x="0" y="21283"/>
                <wp:lineTo x="21283" y="21283"/>
                <wp:lineTo x="21283" y="0"/>
                <wp:lineTo x="0" y="0"/>
              </wp:wrapPolygon>
            </wp:wrapThrough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22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3626">
        <w:drawing>
          <wp:anchor distT="0" distB="0" distL="114300" distR="114300" simplePos="0" relativeHeight="251658240" behindDoc="0" locked="0" layoutInCell="1" allowOverlap="1" wp14:anchorId="09B425A8" wp14:editId="45D9EBE5">
            <wp:simplePos x="0" y="0"/>
            <wp:positionH relativeFrom="column">
              <wp:posOffset>1714500</wp:posOffset>
            </wp:positionH>
            <wp:positionV relativeFrom="paragraph">
              <wp:posOffset>74295</wp:posOffset>
            </wp:positionV>
            <wp:extent cx="1485900" cy="2460816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46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196C98" w14:textId="400F8E8F" w:rsidR="00270333" w:rsidRDefault="00270333" w:rsidP="00270333"/>
    <w:p w14:paraId="06FD1C5D" w14:textId="77777777" w:rsidR="00AC3626" w:rsidRDefault="00AC3626" w:rsidP="00270333"/>
    <w:p w14:paraId="3735DED9" w14:textId="77777777" w:rsidR="00AC3626" w:rsidRDefault="00AC3626" w:rsidP="00270333"/>
    <w:p w14:paraId="28B2F41D" w14:textId="77777777" w:rsidR="00AC3626" w:rsidRDefault="00AC3626" w:rsidP="00270333"/>
    <w:p w14:paraId="744BC8BC" w14:textId="77777777" w:rsidR="00AC3626" w:rsidRDefault="00AC3626" w:rsidP="00270333"/>
    <w:p w14:paraId="1A60CA16" w14:textId="77777777" w:rsidR="00AC3626" w:rsidRDefault="00AC3626" w:rsidP="00270333"/>
    <w:p w14:paraId="0E357627" w14:textId="42E93FDA" w:rsidR="00AC3626" w:rsidRPr="00386160" w:rsidRDefault="00AC3626" w:rsidP="00270333"/>
    <w:p w14:paraId="63F23798" w14:textId="77777777" w:rsidR="00AC3626" w:rsidRDefault="00AC3626" w:rsidP="00270333">
      <w:pPr>
        <w:rPr>
          <w:b/>
        </w:rPr>
      </w:pPr>
    </w:p>
    <w:p w14:paraId="5E4BA319" w14:textId="77777777" w:rsidR="00AC3626" w:rsidRDefault="00AC3626" w:rsidP="00270333">
      <w:pPr>
        <w:rPr>
          <w:b/>
        </w:rPr>
      </w:pPr>
    </w:p>
    <w:p w14:paraId="16BCF0F8" w14:textId="77777777" w:rsidR="00AC3626" w:rsidRDefault="00AC3626" w:rsidP="00270333">
      <w:pPr>
        <w:rPr>
          <w:b/>
        </w:rPr>
      </w:pPr>
    </w:p>
    <w:p w14:paraId="6975095F" w14:textId="77777777" w:rsidR="00AC3626" w:rsidRDefault="00AC3626" w:rsidP="00270333">
      <w:pPr>
        <w:rPr>
          <w:b/>
        </w:rPr>
      </w:pPr>
    </w:p>
    <w:p w14:paraId="543B834A" w14:textId="77777777" w:rsidR="00AC3626" w:rsidRDefault="00AC3626" w:rsidP="00270333">
      <w:pPr>
        <w:rPr>
          <w:b/>
        </w:rPr>
      </w:pPr>
    </w:p>
    <w:p w14:paraId="0A288939" w14:textId="77777777" w:rsidR="00AC3626" w:rsidRDefault="00AC3626" w:rsidP="00270333">
      <w:pPr>
        <w:rPr>
          <w:b/>
        </w:rPr>
      </w:pPr>
    </w:p>
    <w:p w14:paraId="5A67D2B7" w14:textId="3A302EE7" w:rsidR="00270333" w:rsidRPr="00386160" w:rsidRDefault="00951BE2" w:rsidP="00270333">
      <w:pPr>
        <w:rPr>
          <w:b/>
        </w:rPr>
      </w:pPr>
      <w:r w:rsidRPr="00386160">
        <w:rPr>
          <w:b/>
        </w:rPr>
        <w:t>PHYSIOPATHOLOGIE</w:t>
      </w:r>
    </w:p>
    <w:p w14:paraId="722A98FA" w14:textId="00203970" w:rsidR="00831702" w:rsidRPr="00386160" w:rsidRDefault="00270333" w:rsidP="004F4867">
      <w:pPr>
        <w:pStyle w:val="ListParagraph"/>
        <w:numPr>
          <w:ilvl w:val="0"/>
          <w:numId w:val="2"/>
        </w:numPr>
      </w:pPr>
      <w:r w:rsidRPr="00386160">
        <w:t xml:space="preserve">Dénutrition </w:t>
      </w:r>
      <w:r w:rsidR="004F4867">
        <w:t xml:space="preserve">prolongée </w:t>
      </w:r>
      <w:r w:rsidR="00176C7F" w:rsidRPr="00386160">
        <w:sym w:font="Wingdings" w:char="F0E0"/>
      </w:r>
      <w:r w:rsidRPr="00386160">
        <w:t xml:space="preserve"> </w:t>
      </w:r>
      <w:r w:rsidR="00022DB6" w:rsidRPr="004F4867">
        <w:rPr>
          <w:b/>
        </w:rPr>
        <w:t>consommation</w:t>
      </w:r>
      <w:r w:rsidR="00022DB6">
        <w:t xml:space="preserve"> des réserves intracellulaires </w:t>
      </w:r>
      <w:r w:rsidR="00115039" w:rsidRPr="00386160">
        <w:t xml:space="preserve">en électrolytes, </w:t>
      </w:r>
      <w:r w:rsidRPr="00386160">
        <w:t>vitamines</w:t>
      </w:r>
      <w:r w:rsidR="00831702" w:rsidRPr="00386160">
        <w:t xml:space="preserve"> (</w:t>
      </w:r>
      <w:r w:rsidR="00D0377E" w:rsidRPr="00386160">
        <w:t xml:space="preserve">Vit. </w:t>
      </w:r>
      <w:r w:rsidR="00831702" w:rsidRPr="00386160">
        <w:t>B1)</w:t>
      </w:r>
      <w:r w:rsidR="004F4867">
        <w:t xml:space="preserve">, </w:t>
      </w:r>
      <w:r w:rsidR="00115039" w:rsidRPr="00386160">
        <w:t>oligoéléments</w:t>
      </w:r>
      <w:r w:rsidR="00176C7F" w:rsidRPr="00386160">
        <w:t xml:space="preserve"> (zinc)</w:t>
      </w:r>
      <w:r w:rsidR="004F4867">
        <w:t xml:space="preserve"> etc</w:t>
      </w:r>
      <w:r w:rsidR="00115039" w:rsidRPr="00386160">
        <w:t>.</w:t>
      </w:r>
      <w:r w:rsidR="004F4867">
        <w:t xml:space="preserve"> + </w:t>
      </w:r>
      <w:r w:rsidR="00831702" w:rsidRPr="004F4867">
        <w:rPr>
          <w:b/>
        </w:rPr>
        <w:t>état catabolique</w:t>
      </w:r>
      <w:r w:rsidR="004F4867">
        <w:t xml:space="preserve"> avec acidose métabolique.</w:t>
      </w:r>
    </w:p>
    <w:p w14:paraId="1C3B2AFD" w14:textId="77777777" w:rsidR="00FF2A51" w:rsidRPr="00386160" w:rsidRDefault="00FF2A51" w:rsidP="00FF2A51">
      <w:pPr>
        <w:pStyle w:val="ListParagraph"/>
      </w:pPr>
    </w:p>
    <w:p w14:paraId="42D5C5AF" w14:textId="5D67898E" w:rsidR="002D30F3" w:rsidRDefault="004F4867" w:rsidP="00D0377E">
      <w:pPr>
        <w:pStyle w:val="ListParagraph"/>
        <w:numPr>
          <w:ilvl w:val="0"/>
          <w:numId w:val="2"/>
        </w:numPr>
      </w:pPr>
      <w:r>
        <w:t>Durant la</w:t>
      </w:r>
      <w:r w:rsidR="00D0377E" w:rsidRPr="00386160">
        <w:t xml:space="preserve"> </w:t>
      </w:r>
      <w:proofErr w:type="spellStart"/>
      <w:r w:rsidR="00D0377E" w:rsidRPr="00386160">
        <w:t>renutrition</w:t>
      </w:r>
      <w:proofErr w:type="spellEnd"/>
      <w:r w:rsidR="00D0377E" w:rsidRPr="00386160">
        <w:t xml:space="preserve">, on </w:t>
      </w:r>
      <w:r>
        <w:t>observe</w:t>
      </w:r>
      <w:r w:rsidR="00854B91" w:rsidRPr="00386160">
        <w:t xml:space="preserve"> re</w:t>
      </w:r>
      <w:r>
        <w:t>prise du métabolisme anabolique</w:t>
      </w:r>
      <w:r w:rsidR="004B541B">
        <w:t xml:space="preserve"> </w:t>
      </w:r>
      <w:r w:rsidR="00D0377E" w:rsidRPr="00386160">
        <w:t xml:space="preserve">(gluconéogenèse, </w:t>
      </w:r>
      <w:r w:rsidR="00EB3636" w:rsidRPr="00386160">
        <w:t>synthèse de glycogène</w:t>
      </w:r>
      <w:r w:rsidR="00EA41E7" w:rsidRPr="00386160">
        <w:t xml:space="preserve"> (</w:t>
      </w:r>
      <w:r w:rsidR="00EA41E7" w:rsidRPr="00386160">
        <w:sym w:font="Wingdings" w:char="F0E0"/>
      </w:r>
      <w:r w:rsidR="0039668F">
        <w:t>ph</w:t>
      </w:r>
      <w:r w:rsidR="00EA41E7" w:rsidRPr="00386160">
        <w:t>o</w:t>
      </w:r>
      <w:r w:rsidR="0039668F">
        <w:t>s</w:t>
      </w:r>
      <w:r w:rsidR="00EA41E7" w:rsidRPr="00386160">
        <w:t>phorylation du glucose)</w:t>
      </w:r>
      <w:r w:rsidR="00EB3636" w:rsidRPr="00386160">
        <w:t xml:space="preserve">, </w:t>
      </w:r>
      <w:r w:rsidR="00D0377E" w:rsidRPr="00386160">
        <w:t>product</w:t>
      </w:r>
      <w:r w:rsidR="00854B91" w:rsidRPr="00386160">
        <w:t>ion protéique, production d‘ATP</w:t>
      </w:r>
      <w:r w:rsidR="00854B91" w:rsidRPr="00386160">
        <w:sym w:font="Wingdings" w:char="F0E0"/>
      </w:r>
      <w:r w:rsidR="00D0377E" w:rsidRPr="00386160">
        <w:t xml:space="preserve"> </w:t>
      </w:r>
      <w:r w:rsidR="00854B91" w:rsidRPr="00386160">
        <w:t>entrée</w:t>
      </w:r>
      <w:r w:rsidR="00D0377E" w:rsidRPr="00386160">
        <w:t xml:space="preserve"> du glucose</w:t>
      </w:r>
      <w:r w:rsidR="00FB573D" w:rsidRPr="00386160">
        <w:t xml:space="preserve"> et acides aminés</w:t>
      </w:r>
      <w:r w:rsidR="00D0377E" w:rsidRPr="00386160">
        <w:t xml:space="preserve"> dans les cellules </w:t>
      </w:r>
      <w:r w:rsidR="00FB573D" w:rsidRPr="00386160">
        <w:t xml:space="preserve">qui entraînent </w:t>
      </w:r>
      <w:r w:rsidR="00D0377E" w:rsidRPr="00386160">
        <w:t xml:space="preserve">en même temps </w:t>
      </w:r>
      <w:r>
        <w:t xml:space="preserve">un shift </w:t>
      </w:r>
      <w:r w:rsidR="00FB573D" w:rsidRPr="00386160">
        <w:t>du</w:t>
      </w:r>
      <w:r w:rsidR="00D0377E" w:rsidRPr="00386160">
        <w:t xml:space="preserve"> phosphate et </w:t>
      </w:r>
      <w:r w:rsidR="00FB573D" w:rsidRPr="00386160">
        <w:t>du</w:t>
      </w:r>
      <w:r w:rsidR="00D0377E" w:rsidRPr="00386160">
        <w:t xml:space="preserve"> </w:t>
      </w:r>
      <w:r>
        <w:t xml:space="preserve">potassium et une consommation de </w:t>
      </w:r>
      <w:proofErr w:type="spellStart"/>
      <w:r>
        <w:t>co-facteur</w:t>
      </w:r>
      <w:r w:rsidR="004B541B">
        <w:t>s</w:t>
      </w:r>
      <w:proofErr w:type="spellEnd"/>
      <w:r>
        <w:t xml:space="preserve"> enzymatiques comme la </w:t>
      </w:r>
      <w:r w:rsidRPr="004B541B">
        <w:rPr>
          <w:b/>
        </w:rPr>
        <w:t>v</w:t>
      </w:r>
      <w:r w:rsidR="00D0377E" w:rsidRPr="004B541B">
        <w:rPr>
          <w:b/>
        </w:rPr>
        <w:t xml:space="preserve">itamine B1 et </w:t>
      </w:r>
      <w:r w:rsidRPr="004B541B">
        <w:rPr>
          <w:b/>
        </w:rPr>
        <w:t>le</w:t>
      </w:r>
      <w:r w:rsidR="00D0377E" w:rsidRPr="004B541B">
        <w:rPr>
          <w:b/>
        </w:rPr>
        <w:t xml:space="preserve"> magnésium</w:t>
      </w:r>
      <w:r w:rsidR="00D0377E" w:rsidRPr="00386160">
        <w:t xml:space="preserve"> </w:t>
      </w:r>
    </w:p>
    <w:p w14:paraId="0DAB39B3" w14:textId="77777777" w:rsidR="002D30F3" w:rsidRDefault="002D30F3" w:rsidP="002D30F3"/>
    <w:p w14:paraId="1A1588F8" w14:textId="24BEADFC" w:rsidR="00D0377E" w:rsidRPr="00386160" w:rsidRDefault="002D30F3" w:rsidP="00D0377E">
      <w:pPr>
        <w:pStyle w:val="ListParagraph"/>
        <w:numPr>
          <w:ilvl w:val="0"/>
          <w:numId w:val="2"/>
        </w:numPr>
      </w:pPr>
      <w:r w:rsidRPr="002D30F3">
        <w:rPr>
          <w:b/>
          <w:color w:val="FF0000"/>
        </w:rPr>
        <w:t>Dans les 2 à 10 jours</w:t>
      </w:r>
      <w:r w:rsidRPr="00386160">
        <w:t xml:space="preserve"> </w:t>
      </w:r>
      <w:r w:rsidR="004B541B">
        <w:t>de</w:t>
      </w:r>
      <w:r w:rsidRPr="00386160">
        <w:t xml:space="preserve"> la reprise de la nutrition</w:t>
      </w:r>
      <w:r w:rsidR="004B541B">
        <w:t>,</w:t>
      </w:r>
      <w:r w:rsidRPr="00386160">
        <w:t xml:space="preserve"> </w:t>
      </w:r>
      <w:r>
        <w:t xml:space="preserve">on risque de </w:t>
      </w:r>
      <w:proofErr w:type="spellStart"/>
      <w:r w:rsidR="004B541B">
        <w:t>démasquuer</w:t>
      </w:r>
      <w:proofErr w:type="spellEnd"/>
      <w:r w:rsidRPr="00386160">
        <w:t xml:space="preserve"> </w:t>
      </w:r>
      <w:r w:rsidR="00E341F7">
        <w:t>c</w:t>
      </w:r>
      <w:r>
        <w:t>es déficit</w:t>
      </w:r>
      <w:r w:rsidR="00E341F7">
        <w:t>s</w:t>
      </w:r>
      <w:r>
        <w:t xml:space="preserve"> </w:t>
      </w:r>
      <w:r w:rsidR="00E341F7">
        <w:t>ce qui peut</w:t>
      </w:r>
      <w:r>
        <w:t xml:space="preserve"> </w:t>
      </w:r>
      <w:r w:rsidRPr="00386160">
        <w:t>avoir des conséquences désastreuses voir mortelles</w:t>
      </w:r>
      <w:r>
        <w:t xml:space="preserve"> par </w:t>
      </w:r>
      <w:r w:rsidR="004B541B">
        <w:rPr>
          <w:b/>
        </w:rPr>
        <w:t xml:space="preserve">défaillance </w:t>
      </w:r>
      <w:proofErr w:type="spellStart"/>
      <w:r w:rsidR="004B541B">
        <w:rPr>
          <w:b/>
        </w:rPr>
        <w:t>multi</w:t>
      </w:r>
      <w:r w:rsidRPr="001C53D9">
        <w:rPr>
          <w:b/>
        </w:rPr>
        <w:t>or</w:t>
      </w:r>
      <w:r>
        <w:rPr>
          <w:b/>
        </w:rPr>
        <w:t>g</w:t>
      </w:r>
      <w:r w:rsidRPr="001C53D9">
        <w:rPr>
          <w:b/>
        </w:rPr>
        <w:t>anique</w:t>
      </w:r>
      <w:proofErr w:type="spellEnd"/>
      <w:r w:rsidR="00E341F7">
        <w:rPr>
          <w:b/>
        </w:rPr>
        <w:t> :</w:t>
      </w:r>
    </w:p>
    <w:p w14:paraId="5B4B406F" w14:textId="21AF8B7F" w:rsidR="004F4867" w:rsidRPr="004F4867" w:rsidRDefault="00D0377E" w:rsidP="00E958CD">
      <w:pPr>
        <w:pStyle w:val="ListParagraph"/>
        <w:numPr>
          <w:ilvl w:val="1"/>
          <w:numId w:val="2"/>
        </w:numPr>
        <w:rPr>
          <w:i/>
        </w:rPr>
      </w:pPr>
      <w:r w:rsidRPr="004F4867">
        <w:rPr>
          <w:b/>
          <w:color w:val="FF0000"/>
        </w:rPr>
        <w:lastRenderedPageBreak/>
        <w:t>Hypophosphatémie</w:t>
      </w:r>
      <w:r w:rsidRPr="00D920A0">
        <w:rPr>
          <w:color w:val="FF0000"/>
        </w:rPr>
        <w:t xml:space="preserve"> </w:t>
      </w:r>
      <w:r w:rsidRPr="00DD68A7">
        <w:rPr>
          <w:color w:val="000000" w:themeColor="text1"/>
        </w:rPr>
        <w:t>(</w:t>
      </w:r>
      <w:r w:rsidR="004B541B">
        <w:rPr>
          <w:color w:val="000000" w:themeColor="text1"/>
        </w:rPr>
        <w:t xml:space="preserve">par </w:t>
      </w:r>
      <w:r w:rsidRPr="00DD68A7">
        <w:rPr>
          <w:color w:val="000000" w:themeColor="text1"/>
        </w:rPr>
        <w:t>shift intracellulaire et consommation</w:t>
      </w:r>
      <w:r w:rsidR="004B541B">
        <w:rPr>
          <w:color w:val="000000" w:themeColor="text1"/>
        </w:rPr>
        <w:t xml:space="preserve"> dans formation d’ATP</w:t>
      </w:r>
      <w:r w:rsidR="00EA41E7" w:rsidRPr="00DD68A7">
        <w:rPr>
          <w:color w:val="000000" w:themeColor="text1"/>
        </w:rPr>
        <w:t>)</w:t>
      </w:r>
      <w:r w:rsidR="0039668F" w:rsidRPr="00DD68A7">
        <w:rPr>
          <w:color w:val="000000" w:themeColor="text1"/>
        </w:rPr>
        <w:t xml:space="preserve"> </w:t>
      </w:r>
    </w:p>
    <w:p w14:paraId="102B5E5D" w14:textId="62B55E96" w:rsidR="004F4867" w:rsidRPr="004F4867" w:rsidRDefault="004B541B" w:rsidP="004F4867">
      <w:pPr>
        <w:pStyle w:val="ListParagraph"/>
        <w:numPr>
          <w:ilvl w:val="2"/>
          <w:numId w:val="2"/>
        </w:numPr>
        <w:rPr>
          <w:i/>
        </w:rPr>
      </w:pPr>
      <w:r>
        <w:rPr>
          <w:color w:val="000000" w:themeColor="text1"/>
        </w:rPr>
        <w:t>C’est l</w:t>
      </w:r>
      <w:r w:rsidR="0039668F" w:rsidRPr="004F4867">
        <w:rPr>
          <w:color w:val="000000" w:themeColor="text1"/>
        </w:rPr>
        <w:t xml:space="preserve">e </w:t>
      </w:r>
      <w:r w:rsidRPr="004B541B">
        <w:rPr>
          <w:b/>
          <w:color w:val="000000" w:themeColor="text1"/>
        </w:rPr>
        <w:t xml:space="preserve">meilleur facteur </w:t>
      </w:r>
      <w:r w:rsidR="0039668F" w:rsidRPr="004B541B">
        <w:rPr>
          <w:b/>
          <w:color w:val="000000" w:themeColor="text1"/>
        </w:rPr>
        <w:t>prédictif</w:t>
      </w:r>
      <w:r w:rsidR="0039668F" w:rsidRPr="004F4867">
        <w:rPr>
          <w:color w:val="000000" w:themeColor="text1"/>
        </w:rPr>
        <w:t xml:space="preserve"> d’un</w:t>
      </w:r>
      <w:r w:rsidR="0039668F" w:rsidRPr="00DD68A7">
        <w:rPr>
          <w:b/>
          <w:color w:val="000000" w:themeColor="text1"/>
        </w:rPr>
        <w:t xml:space="preserve"> </w:t>
      </w:r>
      <w:r w:rsidR="0039668F" w:rsidRPr="004B541B">
        <w:t xml:space="preserve">risque de </w:t>
      </w:r>
      <w:proofErr w:type="spellStart"/>
      <w:r w:rsidR="0039668F" w:rsidRPr="004B541B">
        <w:t>Sd</w:t>
      </w:r>
      <w:proofErr w:type="spellEnd"/>
      <w:r w:rsidR="0039668F" w:rsidRPr="004B541B">
        <w:t xml:space="preserve"> de </w:t>
      </w:r>
      <w:proofErr w:type="spellStart"/>
      <w:r w:rsidR="0039668F" w:rsidRPr="004B541B">
        <w:t>renutrition</w:t>
      </w:r>
      <w:proofErr w:type="spellEnd"/>
      <w:r w:rsidR="004F4867">
        <w:rPr>
          <w:b/>
          <w:color w:val="FF0000"/>
        </w:rPr>
        <w:t xml:space="preserve">. </w:t>
      </w:r>
    </w:p>
    <w:p w14:paraId="33DB1792" w14:textId="5F887E6B" w:rsidR="004F4867" w:rsidRPr="004F4867" w:rsidRDefault="004B541B" w:rsidP="004F4867">
      <w:pPr>
        <w:pStyle w:val="ListParagraph"/>
        <w:numPr>
          <w:ilvl w:val="2"/>
          <w:numId w:val="2"/>
        </w:numPr>
        <w:rPr>
          <w:i/>
        </w:rPr>
      </w:pPr>
      <w:r>
        <w:rPr>
          <w:b/>
        </w:rPr>
        <w:t xml:space="preserve">Hypo </w:t>
      </w:r>
      <w:proofErr w:type="spellStart"/>
      <w:r>
        <w:rPr>
          <w:b/>
        </w:rPr>
        <w:t>Phosphatémie</w:t>
      </w:r>
      <w:proofErr w:type="spellEnd"/>
      <w:r>
        <w:rPr>
          <w:b/>
        </w:rPr>
        <w:t xml:space="preserve"> s</w:t>
      </w:r>
      <w:r w:rsidR="00DD68A7" w:rsidRPr="004F4867">
        <w:rPr>
          <w:b/>
        </w:rPr>
        <w:t xml:space="preserve">évère </w:t>
      </w:r>
      <w:r w:rsidRPr="004B541B">
        <w:rPr>
          <w:b/>
        </w:rPr>
        <w:sym w:font="Wingdings" w:char="F0E0"/>
      </w:r>
      <w:r w:rsidR="004F4867" w:rsidRPr="004F4867">
        <w:rPr>
          <w:b/>
        </w:rPr>
        <w:t xml:space="preserve"> </w:t>
      </w:r>
      <w:proofErr w:type="spellStart"/>
      <w:r w:rsidR="004F4867" w:rsidRPr="004F4867">
        <w:rPr>
          <w:b/>
        </w:rPr>
        <w:t>symptômatique</w:t>
      </w:r>
      <w:proofErr w:type="spellEnd"/>
      <w:r w:rsidR="004F4867">
        <w:rPr>
          <w:b/>
          <w:color w:val="FF0000"/>
        </w:rPr>
        <w:t xml:space="preserve"> </w:t>
      </w:r>
      <w:r w:rsidR="00DD68A7">
        <w:rPr>
          <w:b/>
          <w:color w:val="FF0000"/>
        </w:rPr>
        <w:t xml:space="preserve">si </w:t>
      </w:r>
      <w:r w:rsidR="00D920A0" w:rsidRPr="00D920A0">
        <w:rPr>
          <w:b/>
          <w:color w:val="FF0000"/>
        </w:rPr>
        <w:t xml:space="preserve">&lt;0,32 </w:t>
      </w:r>
      <w:proofErr w:type="spellStart"/>
      <w:r w:rsidR="00D920A0" w:rsidRPr="00D920A0">
        <w:rPr>
          <w:b/>
          <w:color w:val="FF0000"/>
        </w:rPr>
        <w:t>mmol</w:t>
      </w:r>
      <w:proofErr w:type="spellEnd"/>
      <w:r w:rsidR="00D920A0" w:rsidRPr="00D920A0">
        <w:rPr>
          <w:b/>
          <w:color w:val="FF0000"/>
        </w:rPr>
        <w:t>/L ou &lt;</w:t>
      </w:r>
      <w:r w:rsidR="00DD68A7">
        <w:rPr>
          <w:b/>
          <w:color w:val="FF0000"/>
        </w:rPr>
        <w:t xml:space="preserve"> </w:t>
      </w:r>
      <w:r w:rsidR="00D920A0" w:rsidRPr="00D920A0">
        <w:rPr>
          <w:b/>
          <w:color w:val="FF0000"/>
        </w:rPr>
        <w:t>1 mg/dl</w:t>
      </w:r>
      <w:r w:rsidR="00DD68A7">
        <w:rPr>
          <w:b/>
          <w:color w:val="FF0000"/>
        </w:rPr>
        <w:t>.</w:t>
      </w:r>
      <w:r w:rsidR="00845946">
        <w:rPr>
          <w:b/>
          <w:color w:val="FF0000"/>
        </w:rPr>
        <w:t xml:space="preserve"> </w:t>
      </w:r>
    </w:p>
    <w:p w14:paraId="07CC7FA2" w14:textId="30D0814B" w:rsidR="00E958CD" w:rsidRPr="00CD390A" w:rsidRDefault="00845946" w:rsidP="004F4867">
      <w:pPr>
        <w:pStyle w:val="ListParagraph"/>
        <w:numPr>
          <w:ilvl w:val="2"/>
          <w:numId w:val="2"/>
        </w:numPr>
        <w:rPr>
          <w:i/>
        </w:rPr>
      </w:pPr>
      <w:r w:rsidRPr="004F4867">
        <w:t>NB :</w:t>
      </w:r>
      <w:r>
        <w:rPr>
          <w:b/>
          <w:color w:val="FF0000"/>
        </w:rPr>
        <w:t xml:space="preserve"> </w:t>
      </w:r>
      <w:r>
        <w:t>U</w:t>
      </w:r>
      <w:r w:rsidRPr="00845946">
        <w:t xml:space="preserve">ne cause </w:t>
      </w:r>
      <w:r w:rsidR="004F4867">
        <w:t xml:space="preserve">cachée </w:t>
      </w:r>
      <w:r w:rsidRPr="00845946">
        <w:t xml:space="preserve">d’hypophosphatémie </w:t>
      </w:r>
      <w:r w:rsidR="004F4867">
        <w:t>(</w:t>
      </w:r>
      <w:r w:rsidRPr="00845946">
        <w:t>par augmentation de la phosphaturie</w:t>
      </w:r>
      <w:r w:rsidR="004F4867">
        <w:t>)</w:t>
      </w:r>
      <w:r w:rsidRPr="00845946">
        <w:t xml:space="preserve"> </w:t>
      </w:r>
      <w:r>
        <w:t xml:space="preserve">est la </w:t>
      </w:r>
      <w:r w:rsidRPr="00845946">
        <w:rPr>
          <w:b/>
          <w:color w:val="FF6600"/>
        </w:rPr>
        <w:t xml:space="preserve">carence </w:t>
      </w:r>
      <w:r w:rsidR="004F4867" w:rsidRPr="004B541B">
        <w:rPr>
          <w:b/>
          <w:color w:val="FF6600"/>
          <w:u w:val="single"/>
        </w:rPr>
        <w:t>intracellulaire</w:t>
      </w:r>
      <w:r w:rsidR="004F4867">
        <w:rPr>
          <w:b/>
          <w:color w:val="FF6600"/>
        </w:rPr>
        <w:t xml:space="preserve"> </w:t>
      </w:r>
      <w:r w:rsidRPr="00845946">
        <w:rPr>
          <w:b/>
          <w:color w:val="FF6600"/>
        </w:rPr>
        <w:t>en magnésium</w:t>
      </w:r>
      <w:r>
        <w:t xml:space="preserve"> (</w:t>
      </w:r>
      <w:r w:rsidR="004F4867">
        <w:sym w:font="Wingdings" w:char="F0E0"/>
      </w:r>
      <w:r w:rsidR="004F4867">
        <w:t>possible</w:t>
      </w:r>
      <w:r w:rsidRPr="00845946">
        <w:t xml:space="preserve"> une </w:t>
      </w:r>
      <w:proofErr w:type="spellStart"/>
      <w:r w:rsidRPr="00845946">
        <w:t>magnésémie</w:t>
      </w:r>
      <w:proofErr w:type="spellEnd"/>
      <w:r w:rsidRPr="00845946">
        <w:t xml:space="preserve"> normale</w:t>
      </w:r>
      <w:r>
        <w:t>) et</w:t>
      </w:r>
      <w:r w:rsidRPr="00845946">
        <w:t xml:space="preserve"> </w:t>
      </w:r>
      <w:r w:rsidR="004F4867">
        <w:t xml:space="preserve">qui </w:t>
      </w:r>
      <w:r w:rsidRPr="00845946">
        <w:t xml:space="preserve">devrait être systématiquement suspectée en présence d’une </w:t>
      </w:r>
      <w:r w:rsidRPr="004F4867">
        <w:rPr>
          <w:b/>
          <w:color w:val="FF0000"/>
        </w:rPr>
        <w:t>hypokaliémie et d’une hypocalcémie réfractaires</w:t>
      </w:r>
      <w:r w:rsidR="004F4867" w:rsidRPr="004F4867">
        <w:rPr>
          <w:b/>
          <w:color w:val="FF0000"/>
        </w:rPr>
        <w:t xml:space="preserve"> à la substitution</w:t>
      </w:r>
      <w:r>
        <w:t>.</w:t>
      </w:r>
      <w:r w:rsidR="00E958CD">
        <w:t xml:space="preserve"> </w:t>
      </w:r>
      <w:r w:rsidR="00E958CD" w:rsidRPr="00CD390A">
        <w:rPr>
          <w:i/>
        </w:rPr>
        <w:t>(Schweiz Med Forum 2005</w:t>
      </w:r>
      <w:proofErr w:type="gramStart"/>
      <w:r w:rsidR="00E958CD" w:rsidRPr="00CD390A">
        <w:rPr>
          <w:i/>
        </w:rPr>
        <w:t>;5:1163</w:t>
      </w:r>
      <w:proofErr w:type="gramEnd"/>
      <w:r w:rsidR="00E958CD" w:rsidRPr="00CD390A">
        <w:rPr>
          <w:i/>
        </w:rPr>
        <w:t>–1170)</w:t>
      </w:r>
      <w:r w:rsidR="004F4867">
        <w:rPr>
          <w:i/>
        </w:rPr>
        <w:t>.</w:t>
      </w:r>
    </w:p>
    <w:p w14:paraId="3D12B00E" w14:textId="4356FEC0" w:rsidR="00D0377E" w:rsidRPr="00386160" w:rsidRDefault="00D0377E" w:rsidP="00D0377E">
      <w:pPr>
        <w:pStyle w:val="ListParagraph"/>
        <w:numPr>
          <w:ilvl w:val="1"/>
          <w:numId w:val="2"/>
        </w:numPr>
      </w:pPr>
      <w:r w:rsidRPr="00386160">
        <w:rPr>
          <w:b/>
        </w:rPr>
        <w:t>Hypokaliémie</w:t>
      </w:r>
      <w:r w:rsidRPr="00386160">
        <w:t xml:space="preserve"> (shift intracellulaire</w:t>
      </w:r>
      <w:r w:rsidR="004B541B">
        <w:t>)</w:t>
      </w:r>
      <w:r w:rsidRPr="00386160">
        <w:t>.</w:t>
      </w:r>
    </w:p>
    <w:p w14:paraId="10F8D5E4" w14:textId="281D0A77" w:rsidR="00D0377E" w:rsidRPr="00386160" w:rsidRDefault="00D0377E" w:rsidP="00D0377E">
      <w:pPr>
        <w:pStyle w:val="ListParagraph"/>
        <w:numPr>
          <w:ilvl w:val="1"/>
          <w:numId w:val="2"/>
        </w:numPr>
      </w:pPr>
      <w:proofErr w:type="spellStart"/>
      <w:r w:rsidRPr="00386160">
        <w:rPr>
          <w:b/>
        </w:rPr>
        <w:t>Hypomagnésémie</w:t>
      </w:r>
      <w:proofErr w:type="spellEnd"/>
      <w:r w:rsidRPr="00386160">
        <w:t xml:space="preserve"> (shift intracellulaire </w:t>
      </w:r>
      <w:r w:rsidR="004B541B">
        <w:t>+</w:t>
      </w:r>
      <w:r w:rsidRPr="00386160">
        <w:t xml:space="preserve"> consommation</w:t>
      </w:r>
      <w:r w:rsidR="004B541B">
        <w:t xml:space="preserve"> </w:t>
      </w:r>
      <w:r w:rsidR="004B541B" w:rsidRPr="00386160">
        <w:t xml:space="preserve">en tant que </w:t>
      </w:r>
      <w:r w:rsidR="004B541B" w:rsidRPr="00386160">
        <w:rPr>
          <w:u w:val="single"/>
        </w:rPr>
        <w:t>cofacteur</w:t>
      </w:r>
      <w:r w:rsidRPr="00386160">
        <w:t>)</w:t>
      </w:r>
    </w:p>
    <w:p w14:paraId="35324646" w14:textId="71184392" w:rsidR="00D0377E" w:rsidRPr="00386160" w:rsidRDefault="00D0377E" w:rsidP="00D0377E">
      <w:pPr>
        <w:pStyle w:val="ListParagraph"/>
        <w:numPr>
          <w:ilvl w:val="1"/>
          <w:numId w:val="2"/>
        </w:numPr>
      </w:pPr>
      <w:r w:rsidRPr="00386160">
        <w:rPr>
          <w:b/>
        </w:rPr>
        <w:t>Hypovitaminose B1</w:t>
      </w:r>
      <w:r w:rsidRPr="00386160">
        <w:t xml:space="preserve"> (consommation en tant que </w:t>
      </w:r>
      <w:r w:rsidRPr="00386160">
        <w:rPr>
          <w:u w:val="single"/>
        </w:rPr>
        <w:t>cofacteur</w:t>
      </w:r>
      <w:r w:rsidRPr="00386160">
        <w:t xml:space="preserve"> </w:t>
      </w:r>
      <w:r w:rsidR="004B541B">
        <w:t>enzymati</w:t>
      </w:r>
      <w:r w:rsidR="00907130">
        <w:t>q</w:t>
      </w:r>
      <w:r w:rsidR="004B541B">
        <w:t>ue :</w:t>
      </w:r>
      <w:r w:rsidRPr="00386160">
        <w:t xml:space="preserve"> synthèse</w:t>
      </w:r>
      <w:r w:rsidR="00907130">
        <w:t xml:space="preserve"> du glucose</w:t>
      </w:r>
      <w:r w:rsidR="00C80638" w:rsidRPr="00386160">
        <w:t>, graisse et protéines</w:t>
      </w:r>
      <w:r w:rsidRPr="00386160">
        <w:t>)</w:t>
      </w:r>
      <w:r w:rsidR="0039668F">
        <w:sym w:font="Wingdings" w:char="F0E0"/>
      </w:r>
      <w:r w:rsidR="0039668F">
        <w:t xml:space="preserve"> </w:t>
      </w:r>
      <w:proofErr w:type="spellStart"/>
      <w:r w:rsidR="0039668F">
        <w:t>cf</w:t>
      </w:r>
      <w:proofErr w:type="spellEnd"/>
      <w:r w:rsidR="0039668F">
        <w:t xml:space="preserve"> tableau.</w:t>
      </w:r>
    </w:p>
    <w:p w14:paraId="64BEB8FB" w14:textId="47E9C7E0" w:rsidR="00D0377E" w:rsidRPr="00386160" w:rsidRDefault="00D0377E" w:rsidP="00D0377E">
      <w:pPr>
        <w:pStyle w:val="ListParagraph"/>
        <w:numPr>
          <w:ilvl w:val="1"/>
          <w:numId w:val="2"/>
        </w:numPr>
      </w:pPr>
      <w:r w:rsidRPr="00386160">
        <w:rPr>
          <w:b/>
        </w:rPr>
        <w:t>Hyperglycémie</w:t>
      </w:r>
      <w:r w:rsidRPr="00386160">
        <w:t xml:space="preserve"> due à la </w:t>
      </w:r>
      <w:r w:rsidR="00907130">
        <w:t>basale basse d</w:t>
      </w:r>
      <w:r w:rsidRPr="00386160">
        <w:t>’insuline</w:t>
      </w:r>
    </w:p>
    <w:p w14:paraId="0FF60DA2" w14:textId="61BAAFF1" w:rsidR="009F0031" w:rsidRPr="00A228F7" w:rsidRDefault="009F0031" w:rsidP="00D0377E">
      <w:pPr>
        <w:pStyle w:val="ListParagraph"/>
        <w:numPr>
          <w:ilvl w:val="1"/>
          <w:numId w:val="2"/>
        </w:numPr>
      </w:pPr>
      <w:proofErr w:type="spellStart"/>
      <w:r w:rsidRPr="00386160">
        <w:rPr>
          <w:b/>
        </w:rPr>
        <w:t>Hypernatrémie</w:t>
      </w:r>
      <w:proofErr w:type="spellEnd"/>
      <w:r w:rsidRPr="00386160">
        <w:rPr>
          <w:b/>
        </w:rPr>
        <w:t xml:space="preserve"> </w:t>
      </w:r>
      <w:r w:rsidRPr="00386160">
        <w:t xml:space="preserve"> en réponse au shift des autres ions pour maintenir l’</w:t>
      </w:r>
      <w:r w:rsidR="00E722D6" w:rsidRPr="00386160">
        <w:t>équilib</w:t>
      </w:r>
      <w:r w:rsidRPr="00386160">
        <w:t xml:space="preserve">re ionique </w:t>
      </w:r>
      <w:r w:rsidRPr="00386160">
        <w:sym w:font="Wingdings" w:char="F0E0"/>
      </w:r>
      <w:r w:rsidRPr="00386160">
        <w:t xml:space="preserve"> </w:t>
      </w:r>
      <w:proofErr w:type="spellStart"/>
      <w:r w:rsidR="00907130">
        <w:rPr>
          <w:b/>
        </w:rPr>
        <w:t>h</w:t>
      </w:r>
      <w:r w:rsidRPr="00386160">
        <w:rPr>
          <w:b/>
        </w:rPr>
        <w:t>ypervolémie</w:t>
      </w:r>
      <w:proofErr w:type="spellEnd"/>
      <w:r w:rsidR="0013263C" w:rsidRPr="00386160">
        <w:rPr>
          <w:b/>
        </w:rPr>
        <w:t>/</w:t>
      </w:r>
      <w:proofErr w:type="spellStart"/>
      <w:r w:rsidR="0013263C" w:rsidRPr="00386160">
        <w:rPr>
          <w:b/>
        </w:rPr>
        <w:t>oedèmes</w:t>
      </w:r>
      <w:proofErr w:type="spellEnd"/>
      <w:r w:rsidR="00907130">
        <w:rPr>
          <w:b/>
        </w:rPr>
        <w:t>/IC</w:t>
      </w:r>
      <w:r w:rsidR="0013263C" w:rsidRPr="00386160">
        <w:rPr>
          <w:b/>
        </w:rPr>
        <w:t>.</w:t>
      </w:r>
    </w:p>
    <w:p w14:paraId="4AFFF9EC" w14:textId="08481EF1" w:rsidR="00A228F7" w:rsidRDefault="004F4867" w:rsidP="00A228F7">
      <w:pPr>
        <w:pStyle w:val="ListParagraph"/>
        <w:numPr>
          <w:ilvl w:val="1"/>
          <w:numId w:val="2"/>
        </w:numPr>
      </w:pPr>
      <w:r>
        <w:rPr>
          <w:b/>
        </w:rPr>
        <w:t>I</w:t>
      </w:r>
      <w:r w:rsidR="00A228F7">
        <w:rPr>
          <w:b/>
        </w:rPr>
        <w:t>nsuffisance hépatique (</w:t>
      </w:r>
      <w:r w:rsidR="00A228F7" w:rsidRPr="00A228F7">
        <w:rPr>
          <w:b/>
          <w:color w:val="FF0000"/>
        </w:rPr>
        <w:t>surtout si BMI &lt;13,5)</w:t>
      </w:r>
      <w:r w:rsidR="00A228F7" w:rsidRPr="00A228F7">
        <w:rPr>
          <w:b/>
          <w:color w:val="FF0000"/>
        </w:rPr>
        <w:sym w:font="Wingdings" w:char="F0E0"/>
      </w:r>
      <w:r w:rsidR="00A228F7">
        <w:rPr>
          <w:b/>
        </w:rPr>
        <w:t xml:space="preserve"> </w:t>
      </w:r>
      <w:r w:rsidR="00A228F7" w:rsidRPr="00A228F7">
        <w:t>Augmentation des trans</w:t>
      </w:r>
      <w:r w:rsidR="002D30F3">
        <w:t>a</w:t>
      </w:r>
      <w:r w:rsidR="00A228F7" w:rsidRPr="00A228F7">
        <w:t xml:space="preserve">minases </w:t>
      </w:r>
      <w:r w:rsidR="003228FF">
        <w:t xml:space="preserve">attendues </w:t>
      </w:r>
      <w:r w:rsidR="00A228F7" w:rsidRPr="00A228F7">
        <w:t>à</w:t>
      </w:r>
      <w:r w:rsidR="003857CE">
        <w:t> :</w:t>
      </w:r>
      <w:r w:rsidR="00A228F7" w:rsidRPr="00A228F7">
        <w:t xml:space="preserve"> </w:t>
      </w:r>
    </w:p>
    <w:p w14:paraId="0024DF8A" w14:textId="38028562" w:rsidR="00A228F7" w:rsidRDefault="00A228F7" w:rsidP="00B95DAC">
      <w:pPr>
        <w:pStyle w:val="ListParagraph"/>
        <w:numPr>
          <w:ilvl w:val="2"/>
          <w:numId w:val="2"/>
        </w:numPr>
      </w:pPr>
      <w:r w:rsidRPr="00A228F7">
        <w:t>5x la norme en phase de perte de p</w:t>
      </w:r>
      <w:r>
        <w:t xml:space="preserve">oids </w:t>
      </w:r>
      <w:r w:rsidR="00B95DAC">
        <w:t>+ risque d’hypoglycémie avec  coma</w:t>
      </w:r>
    </w:p>
    <w:p w14:paraId="627F5B79" w14:textId="49AFD097" w:rsidR="00A228F7" w:rsidRDefault="00A228F7" w:rsidP="00A228F7">
      <w:pPr>
        <w:pStyle w:val="ListParagraph"/>
        <w:numPr>
          <w:ilvl w:val="2"/>
          <w:numId w:val="2"/>
        </w:numPr>
      </w:pPr>
      <w:r w:rsidRPr="00A228F7">
        <w:t xml:space="preserve">10x la norme en </w:t>
      </w:r>
      <w:r>
        <w:t xml:space="preserve">début de </w:t>
      </w:r>
      <w:r w:rsidRPr="00A228F7">
        <w:t xml:space="preserve">phase de </w:t>
      </w:r>
      <w:proofErr w:type="spellStart"/>
      <w:r w:rsidRPr="00A228F7">
        <w:t>renutrition</w:t>
      </w:r>
      <w:proofErr w:type="spellEnd"/>
      <w:r w:rsidR="002D30F3">
        <w:t xml:space="preserve"> et ad 20 jours (puis diminue)</w:t>
      </w:r>
      <w:r w:rsidRPr="00A228F7">
        <w:t>.</w:t>
      </w:r>
    </w:p>
    <w:p w14:paraId="435311BE" w14:textId="4D8DD509" w:rsidR="003857CE" w:rsidRPr="003857CE" w:rsidRDefault="003857CE" w:rsidP="003857CE">
      <w:pPr>
        <w:ind w:left="1800"/>
        <w:rPr>
          <w:color w:val="FF0000"/>
        </w:rPr>
      </w:pPr>
      <w:r w:rsidRPr="003857CE">
        <w:rPr>
          <w:color w:val="FF0000"/>
        </w:rPr>
        <w:sym w:font="Wingdings" w:char="F0E0"/>
      </w:r>
      <w:r w:rsidR="00845946">
        <w:rPr>
          <w:color w:val="FF0000"/>
        </w:rPr>
        <w:t xml:space="preserve"> B</w:t>
      </w:r>
      <w:r w:rsidRPr="003857CE">
        <w:rPr>
          <w:color w:val="FF0000"/>
        </w:rPr>
        <w:t xml:space="preserve">ilan hépatique recommandé dès poids &lt; 75% </w:t>
      </w:r>
      <w:r>
        <w:rPr>
          <w:color w:val="FF0000"/>
        </w:rPr>
        <w:t xml:space="preserve">du </w:t>
      </w:r>
      <w:r w:rsidRPr="003857CE">
        <w:rPr>
          <w:color w:val="FF0000"/>
        </w:rPr>
        <w:t>poids</w:t>
      </w:r>
      <w:r>
        <w:rPr>
          <w:color w:val="FF0000"/>
        </w:rPr>
        <w:t xml:space="preserve"> idéal</w:t>
      </w:r>
    </w:p>
    <w:p w14:paraId="3A7C75AE" w14:textId="77777777" w:rsidR="00845946" w:rsidRDefault="00845946" w:rsidP="008459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</w:p>
    <w:p w14:paraId="4FC76CD1" w14:textId="77777777" w:rsidR="00422F7D" w:rsidRDefault="00422F7D" w:rsidP="00422F7D">
      <w:pPr>
        <w:pStyle w:val="ListParagraph"/>
      </w:pPr>
    </w:p>
    <w:p w14:paraId="63D8686C" w14:textId="1D68E6B6" w:rsidR="0039668F" w:rsidRDefault="0039668F" w:rsidP="0039668F">
      <w:pPr>
        <w:pStyle w:val="ListParagraph"/>
        <w:ind w:left="1985"/>
      </w:pPr>
      <w:r>
        <w:rPr>
          <w:noProof/>
          <w:lang w:val="en-US"/>
        </w:rPr>
        <w:drawing>
          <wp:inline distT="0" distB="0" distL="0" distR="0" wp14:anchorId="4A86DD75" wp14:editId="772113D1">
            <wp:extent cx="3730535" cy="2892507"/>
            <wp:effectExtent l="0" t="0" r="3810" b="3175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464" cy="289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67E05" w14:textId="77777777" w:rsidR="00422F7D" w:rsidRDefault="00422F7D" w:rsidP="0039668F">
      <w:pPr>
        <w:pStyle w:val="ListParagraph"/>
        <w:ind w:left="1985"/>
      </w:pPr>
    </w:p>
    <w:p w14:paraId="7E3D5576" w14:textId="3F73AE43" w:rsidR="00422F7D" w:rsidRDefault="00F95E6D" w:rsidP="009A24B3">
      <w:pPr>
        <w:pStyle w:val="ListParagraph"/>
        <w:ind w:left="1276" w:hanging="1134"/>
      </w:pPr>
      <w:r>
        <w:rPr>
          <w:noProof/>
          <w:lang w:val="en-US"/>
        </w:rPr>
        <w:drawing>
          <wp:inline distT="0" distB="0" distL="0" distR="0" wp14:anchorId="4B231CEF" wp14:editId="4D452BB5">
            <wp:extent cx="5203901" cy="2823103"/>
            <wp:effectExtent l="0" t="0" r="3175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37"/>
                    <a:stretch/>
                  </pic:blipFill>
                  <pic:spPr bwMode="auto">
                    <a:xfrm>
                      <a:off x="0" y="0"/>
                      <a:ext cx="5206894" cy="2824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571AEB" w14:textId="0A4403A8" w:rsidR="00D04A4A" w:rsidRPr="009A24B3" w:rsidRDefault="00D04A4A" w:rsidP="009A24B3">
      <w:pPr>
        <w:ind w:left="4320" w:firstLine="720"/>
        <w:rPr>
          <w:sz w:val="20"/>
          <w:szCs w:val="20"/>
        </w:rPr>
      </w:pPr>
      <w:proofErr w:type="spellStart"/>
      <w:r w:rsidRPr="009A24B3">
        <w:rPr>
          <w:rFonts w:ascii="Times New Roman" w:hAnsi="Times New Roman" w:cs="Times New Roman"/>
          <w:color w:val="231F20"/>
          <w:sz w:val="20"/>
          <w:szCs w:val="20"/>
          <w:lang w:val="en-US"/>
        </w:rPr>
        <w:t>Hépato</w:t>
      </w:r>
      <w:proofErr w:type="spellEnd"/>
      <w:r w:rsidRPr="009A24B3">
        <w:rPr>
          <w:rFonts w:ascii="Times New Roman" w:hAnsi="Times New Roman" w:cs="Times New Roman"/>
          <w:color w:val="231F20"/>
          <w:sz w:val="20"/>
          <w:szCs w:val="20"/>
          <w:lang w:val="en-US"/>
        </w:rPr>
        <w:t xml:space="preserve">-Gastro, vol. 14, n°3, </w:t>
      </w:r>
      <w:proofErr w:type="spellStart"/>
      <w:r w:rsidRPr="009A24B3">
        <w:rPr>
          <w:rFonts w:ascii="Times New Roman" w:hAnsi="Times New Roman" w:cs="Times New Roman"/>
          <w:color w:val="231F20"/>
          <w:sz w:val="20"/>
          <w:szCs w:val="20"/>
          <w:lang w:val="en-US"/>
        </w:rPr>
        <w:t>mai-juin</w:t>
      </w:r>
      <w:proofErr w:type="spellEnd"/>
      <w:r w:rsidRPr="009A24B3">
        <w:rPr>
          <w:rFonts w:ascii="Times New Roman" w:hAnsi="Times New Roman" w:cs="Times New Roman"/>
          <w:color w:val="231F20"/>
          <w:sz w:val="20"/>
          <w:szCs w:val="20"/>
          <w:lang w:val="en-US"/>
        </w:rPr>
        <w:t xml:space="preserve"> 2007 </w:t>
      </w:r>
    </w:p>
    <w:p w14:paraId="07303B05" w14:textId="3252C31A" w:rsidR="00831702" w:rsidRPr="00386160" w:rsidRDefault="00DE1D65">
      <w:r w:rsidRPr="00386160">
        <w:rPr>
          <w:noProof/>
          <w:lang w:val="en-US"/>
        </w:rPr>
        <w:drawing>
          <wp:inline distT="0" distB="0" distL="0" distR="0" wp14:anchorId="2A72F8E4" wp14:editId="62300DAE">
            <wp:extent cx="6390640" cy="4008119"/>
            <wp:effectExtent l="0" t="0" r="1016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400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E8181" w14:textId="77777777" w:rsidR="00422F7D" w:rsidRDefault="00422F7D" w:rsidP="00FF2A51">
      <w:pPr>
        <w:rPr>
          <w:b/>
        </w:rPr>
      </w:pPr>
    </w:p>
    <w:p w14:paraId="5B4B046F" w14:textId="77777777" w:rsidR="00422F7D" w:rsidRDefault="00422F7D" w:rsidP="00FF2A51">
      <w:pPr>
        <w:rPr>
          <w:b/>
        </w:rPr>
      </w:pPr>
    </w:p>
    <w:p w14:paraId="3FF0F61B" w14:textId="77777777" w:rsidR="00FA04FB" w:rsidRDefault="00951BE2" w:rsidP="00FF2A51">
      <w:pPr>
        <w:rPr>
          <w:b/>
        </w:rPr>
      </w:pPr>
      <w:r w:rsidRPr="00386160">
        <w:rPr>
          <w:b/>
        </w:rPr>
        <w:t xml:space="preserve">COMMENT REALISER LA REALIMENTATION </w:t>
      </w:r>
      <w:r w:rsidR="00FF2A51" w:rsidRPr="00386160">
        <w:rPr>
          <w:b/>
        </w:rPr>
        <w:t>?</w:t>
      </w:r>
      <w:r w:rsidR="00A25568" w:rsidRPr="00386160">
        <w:rPr>
          <w:b/>
        </w:rPr>
        <w:t xml:space="preserve"> </w:t>
      </w:r>
    </w:p>
    <w:p w14:paraId="7B0E4FA0" w14:textId="16D0E093" w:rsidR="00FF2A51" w:rsidRDefault="00A25568" w:rsidP="00FF2A51">
      <w:r w:rsidRPr="00386160">
        <w:rPr>
          <w:b/>
        </w:rPr>
        <w:t xml:space="preserve">-----&gt; </w:t>
      </w:r>
      <w:r w:rsidRPr="00386160">
        <w:t>Nb:</w:t>
      </w:r>
      <w:r w:rsidRPr="00386160">
        <w:rPr>
          <w:b/>
        </w:rPr>
        <w:t xml:space="preserve"> </w:t>
      </w:r>
      <w:r w:rsidR="00FF2A51" w:rsidRPr="00386160">
        <w:t>Pas de consensus mais avis d’expert</w:t>
      </w:r>
      <w:r w:rsidR="00FA04FB">
        <w:t>s</w:t>
      </w:r>
    </w:p>
    <w:p w14:paraId="2B344B80" w14:textId="77777777" w:rsidR="00832C42" w:rsidRPr="00386160" w:rsidRDefault="00832C42" w:rsidP="00FF2A51">
      <w:pPr>
        <w:rPr>
          <w:b/>
        </w:rPr>
      </w:pPr>
    </w:p>
    <w:p w14:paraId="69A7E187" w14:textId="32CAC9EC" w:rsidR="00386160" w:rsidRPr="00832C42" w:rsidRDefault="00832C42" w:rsidP="00FA04FB">
      <w:pPr>
        <w:pStyle w:val="ListParagraph"/>
        <w:numPr>
          <w:ilvl w:val="0"/>
          <w:numId w:val="4"/>
        </w:numPr>
      </w:pPr>
      <w:r>
        <w:t xml:space="preserve">La réalimentation </w:t>
      </w:r>
      <w:proofErr w:type="spellStart"/>
      <w:r>
        <w:t>entérale</w:t>
      </w:r>
      <w:proofErr w:type="spellEnd"/>
      <w:r>
        <w:t xml:space="preserve"> est préconisée</w:t>
      </w:r>
      <w:r w:rsidR="00AC3626">
        <w:t xml:space="preserve"> </w:t>
      </w:r>
      <w:r w:rsidR="00AC3626" w:rsidRPr="00AC3626">
        <w:rPr>
          <w:b/>
        </w:rPr>
        <w:t>en petite</w:t>
      </w:r>
      <w:r w:rsidR="00FA04FB">
        <w:rPr>
          <w:b/>
        </w:rPr>
        <w:t>s</w:t>
      </w:r>
      <w:r w:rsidR="00AC3626" w:rsidRPr="00AC3626">
        <w:rPr>
          <w:b/>
        </w:rPr>
        <w:t xml:space="preserve"> quantité</w:t>
      </w:r>
      <w:r w:rsidR="00FA04FB">
        <w:rPr>
          <w:b/>
        </w:rPr>
        <w:t>s</w:t>
      </w:r>
      <w:r w:rsidR="00AC3626" w:rsidRPr="00AC3626">
        <w:rPr>
          <w:b/>
        </w:rPr>
        <w:t xml:space="preserve"> toutes les 2h</w:t>
      </w:r>
      <w:r>
        <w:t>. D</w:t>
      </w:r>
      <w:r w:rsidRPr="00386160">
        <w:t xml:space="preserve">ans les cas </w:t>
      </w:r>
      <w:r>
        <w:t xml:space="preserve">les plus </w:t>
      </w:r>
      <w:r w:rsidRPr="00386160">
        <w:t xml:space="preserve">sévères </w:t>
      </w:r>
      <w:r w:rsidR="00386160" w:rsidRPr="00386160">
        <w:t xml:space="preserve">une </w:t>
      </w:r>
      <w:proofErr w:type="spellStart"/>
      <w:r w:rsidR="00386160" w:rsidRPr="00FA04FB">
        <w:rPr>
          <w:b/>
        </w:rPr>
        <w:t>renutrition</w:t>
      </w:r>
      <w:proofErr w:type="spellEnd"/>
      <w:r w:rsidR="00386160" w:rsidRPr="00386160">
        <w:t xml:space="preserve"> </w:t>
      </w:r>
      <w:proofErr w:type="spellStart"/>
      <w:r w:rsidR="00386160" w:rsidRPr="00FA04FB">
        <w:rPr>
          <w:b/>
        </w:rPr>
        <w:t>entérale</w:t>
      </w:r>
      <w:proofErr w:type="spellEnd"/>
      <w:r w:rsidR="00386160" w:rsidRPr="00386160">
        <w:t xml:space="preserve"> </w:t>
      </w:r>
      <w:r w:rsidR="00386160" w:rsidRPr="00FA04FB">
        <w:rPr>
          <w:b/>
        </w:rPr>
        <w:t>en continu</w:t>
      </w:r>
      <w:r w:rsidR="00386160" w:rsidRPr="00386160">
        <w:t xml:space="preserve"> </w:t>
      </w:r>
      <w:r w:rsidR="0090346A">
        <w:t xml:space="preserve">(24/24h et pas que de nuit) </w:t>
      </w:r>
      <w:r>
        <w:t xml:space="preserve">est possible </w:t>
      </w:r>
      <w:r w:rsidR="00386160" w:rsidRPr="00386160">
        <w:t>(</w:t>
      </w:r>
      <w:r w:rsidR="00386160" w:rsidRPr="00FA04FB">
        <w:rPr>
          <w:i/>
        </w:rPr>
        <w:t>Nutrition clinique et métabolisme 27 (2013) 109–112)</w:t>
      </w:r>
      <w:r w:rsidRPr="00FA04FB">
        <w:rPr>
          <w:i/>
        </w:rPr>
        <w:t>.</w:t>
      </w:r>
    </w:p>
    <w:p w14:paraId="10414758" w14:textId="77777777" w:rsidR="00832C42" w:rsidRPr="00386160" w:rsidRDefault="00832C42" w:rsidP="00832C42">
      <w:pPr>
        <w:pStyle w:val="ListParagraph"/>
      </w:pPr>
    </w:p>
    <w:p w14:paraId="5DAD98E3" w14:textId="6E717EF8" w:rsidR="00C74042" w:rsidRDefault="00FA04FB" w:rsidP="00422F7D">
      <w:pPr>
        <w:pStyle w:val="ListParagraph"/>
        <w:numPr>
          <w:ilvl w:val="0"/>
          <w:numId w:val="4"/>
        </w:numPr>
      </w:pPr>
      <w:r>
        <w:t>D</w:t>
      </w:r>
      <w:r w:rsidR="00424238" w:rsidRPr="00386160">
        <w:t xml:space="preserve">émarrer </w:t>
      </w:r>
      <w:r w:rsidR="00FF2A51" w:rsidRPr="00386160">
        <w:t>avec des</w:t>
      </w:r>
      <w:r w:rsidR="00C74042" w:rsidRPr="00386160">
        <w:t xml:space="preserve"> </w:t>
      </w:r>
      <w:r w:rsidR="00C74042" w:rsidRPr="00422F7D">
        <w:rPr>
          <w:b/>
          <w:u w:val="single"/>
        </w:rPr>
        <w:t>ap</w:t>
      </w:r>
      <w:r w:rsidR="00FF2A51" w:rsidRPr="00422F7D">
        <w:rPr>
          <w:b/>
          <w:u w:val="single"/>
        </w:rPr>
        <w:t>ports</w:t>
      </w:r>
      <w:r w:rsidR="00FF2A51" w:rsidRPr="00386160">
        <w:t xml:space="preserve"> </w:t>
      </w:r>
      <w:r w:rsidR="00C748D6" w:rsidRPr="00422F7D">
        <w:rPr>
          <w:b/>
          <w:u w:val="single"/>
        </w:rPr>
        <w:t>per os</w:t>
      </w:r>
      <w:r w:rsidR="00C748D6" w:rsidRPr="00386160">
        <w:t xml:space="preserve"> </w:t>
      </w:r>
      <w:r w:rsidR="00FF2A51" w:rsidRPr="00386160">
        <w:t xml:space="preserve">entre </w:t>
      </w:r>
      <w:r w:rsidR="00FF2A51" w:rsidRPr="00422F7D">
        <w:rPr>
          <w:b/>
          <w:color w:val="FF0000"/>
        </w:rPr>
        <w:t>25-50% des besoins</w:t>
      </w:r>
      <w:r w:rsidR="00422F7D">
        <w:t xml:space="preserve"> </w:t>
      </w:r>
      <w:r>
        <w:t xml:space="preserve">(selon gravité) </w:t>
      </w:r>
      <w:r w:rsidR="00422F7D">
        <w:t>puis a</w:t>
      </w:r>
      <w:r w:rsidR="00422F7D" w:rsidRPr="00386160">
        <w:t xml:space="preserve">ugmenter de </w:t>
      </w:r>
      <w:r w:rsidR="00422F7D" w:rsidRPr="00422F7D">
        <w:rPr>
          <w:b/>
          <w:color w:val="FF0000"/>
        </w:rPr>
        <w:t>10-25%/jour</w:t>
      </w:r>
      <w:r w:rsidR="00422F7D" w:rsidRPr="00386160">
        <w:t xml:space="preserve"> pour arrive</w:t>
      </w:r>
      <w:r>
        <w:t>r</w:t>
      </w:r>
      <w:r w:rsidR="00422F7D" w:rsidRPr="00386160">
        <w:t xml:space="preserve"> à </w:t>
      </w:r>
      <w:r w:rsidR="00422F7D" w:rsidRPr="00422F7D">
        <w:rPr>
          <w:b/>
          <w:color w:val="FF0000"/>
        </w:rPr>
        <w:t>alimentation complète après 3-7 jours.</w:t>
      </w:r>
      <w:r w:rsidR="00422F7D">
        <w:rPr>
          <w:b/>
          <w:color w:val="FF0000"/>
        </w:rPr>
        <w:t xml:space="preserve"> </w:t>
      </w:r>
      <w:r w:rsidR="00422F7D">
        <w:t xml:space="preserve">Ex : </w:t>
      </w:r>
      <w:r w:rsidR="00386160" w:rsidRPr="00422F7D">
        <w:rPr>
          <w:u w:val="single"/>
        </w:rPr>
        <w:t>adolescents</w:t>
      </w:r>
      <w:r w:rsidR="00386160" w:rsidRPr="00386160">
        <w:t xml:space="preserve"> </w:t>
      </w:r>
      <w:r w:rsidR="00386160" w:rsidRPr="00386160">
        <w:sym w:font="Wingdings" w:char="F0E0"/>
      </w:r>
      <w:r w:rsidR="00386160" w:rsidRPr="00386160">
        <w:t xml:space="preserve"> 10 et15 kcal/kg/j (max.</w:t>
      </w:r>
      <w:r>
        <w:t xml:space="preserve"> </w:t>
      </w:r>
      <w:r w:rsidR="00386160" w:rsidRPr="00386160">
        <w:t>500 kcal/jour) pendant les 3 jours puis augmenter progressivement pour atteindre 30 kcal/kg par jour en 10-15 jours.</w:t>
      </w:r>
      <w:r w:rsidR="00422F7D">
        <w:t xml:space="preserve"> </w:t>
      </w:r>
    </w:p>
    <w:p w14:paraId="2730EF2C" w14:textId="77777777" w:rsidR="00832C42" w:rsidRPr="00422F7D" w:rsidRDefault="00832C42" w:rsidP="00832C42"/>
    <w:p w14:paraId="35E64D3B" w14:textId="4021B767" w:rsidR="00FF2A51" w:rsidRPr="00386160" w:rsidRDefault="00832C42" w:rsidP="00FF2A51">
      <w:pPr>
        <w:pStyle w:val="ListParagraph"/>
        <w:numPr>
          <w:ilvl w:val="0"/>
          <w:numId w:val="4"/>
        </w:numPr>
      </w:pPr>
      <w:r w:rsidRPr="00832C42">
        <w:rPr>
          <w:b/>
        </w:rPr>
        <w:t>C</w:t>
      </w:r>
      <w:r w:rsidR="00FF2A51" w:rsidRPr="00832C42">
        <w:rPr>
          <w:b/>
        </w:rPr>
        <w:t xml:space="preserve">omposition </w:t>
      </w:r>
      <w:r w:rsidR="00FA04FB">
        <w:rPr>
          <w:b/>
        </w:rPr>
        <w:t>de l’alimentation</w:t>
      </w:r>
      <w:r w:rsidR="00FF2A51" w:rsidRPr="00386160">
        <w:t>:</w:t>
      </w:r>
    </w:p>
    <w:p w14:paraId="5A8D4E20" w14:textId="77777777" w:rsidR="00FF2A51" w:rsidRPr="008D3839" w:rsidRDefault="00FF2A51" w:rsidP="00FF2A51">
      <w:pPr>
        <w:pStyle w:val="ListParagraph"/>
        <w:numPr>
          <w:ilvl w:val="1"/>
          <w:numId w:val="4"/>
        </w:numPr>
        <w:rPr>
          <w:b/>
        </w:rPr>
      </w:pPr>
      <w:r w:rsidRPr="008D3839">
        <w:rPr>
          <w:b/>
        </w:rPr>
        <w:t>65% d’hydrates de carbones.</w:t>
      </w:r>
    </w:p>
    <w:p w14:paraId="32C5A72C" w14:textId="0866EECF" w:rsidR="00507981" w:rsidRPr="008D3839" w:rsidRDefault="00507981" w:rsidP="00FF2A51">
      <w:pPr>
        <w:pStyle w:val="ListParagraph"/>
        <w:numPr>
          <w:ilvl w:val="1"/>
          <w:numId w:val="4"/>
        </w:numPr>
        <w:rPr>
          <w:b/>
        </w:rPr>
      </w:pPr>
      <w:r w:rsidRPr="008D3839">
        <w:rPr>
          <w:b/>
        </w:rPr>
        <w:t xml:space="preserve">20% de </w:t>
      </w:r>
      <w:r w:rsidR="00FC2D1C" w:rsidRPr="008D3839">
        <w:rPr>
          <w:b/>
        </w:rPr>
        <w:t>proté</w:t>
      </w:r>
      <w:r w:rsidRPr="008D3839">
        <w:rPr>
          <w:b/>
        </w:rPr>
        <w:t>in</w:t>
      </w:r>
      <w:r w:rsidR="00FC2D1C" w:rsidRPr="008D3839">
        <w:rPr>
          <w:b/>
        </w:rPr>
        <w:t>e</w:t>
      </w:r>
      <w:r w:rsidRPr="008D3839">
        <w:rPr>
          <w:b/>
        </w:rPr>
        <w:t>s</w:t>
      </w:r>
    </w:p>
    <w:p w14:paraId="5E83249E" w14:textId="07829112" w:rsidR="00FF2A51" w:rsidRPr="008D3839" w:rsidRDefault="00507981" w:rsidP="00FF2A51">
      <w:pPr>
        <w:pStyle w:val="ListParagraph"/>
        <w:numPr>
          <w:ilvl w:val="1"/>
          <w:numId w:val="4"/>
        </w:numPr>
        <w:rPr>
          <w:b/>
        </w:rPr>
      </w:pPr>
      <w:r w:rsidRPr="008D3839">
        <w:rPr>
          <w:b/>
        </w:rPr>
        <w:t>15% de lipides</w:t>
      </w:r>
      <w:r w:rsidR="00FF2A51" w:rsidRPr="008D3839">
        <w:rPr>
          <w:b/>
        </w:rPr>
        <w:t xml:space="preserve"> </w:t>
      </w:r>
    </w:p>
    <w:p w14:paraId="19E204CF" w14:textId="65A779E1" w:rsidR="00422F7D" w:rsidRDefault="00077FF0" w:rsidP="00E44ACB">
      <w:pPr>
        <w:pStyle w:val="ListParagraph"/>
        <w:numPr>
          <w:ilvl w:val="1"/>
          <w:numId w:val="4"/>
        </w:numPr>
      </w:pPr>
      <w:r w:rsidRPr="008D3839">
        <w:rPr>
          <w:b/>
        </w:rPr>
        <w:t>Liquides</w:t>
      </w:r>
      <w:r w:rsidRPr="00832C42">
        <w:t xml:space="preserve"> </w:t>
      </w:r>
      <w:r w:rsidR="00422F7D" w:rsidRPr="00832C42">
        <w:t xml:space="preserve">selon </w:t>
      </w:r>
      <w:proofErr w:type="spellStart"/>
      <w:r w:rsidR="00422F7D" w:rsidRPr="00832C42">
        <w:t>status</w:t>
      </w:r>
      <w:proofErr w:type="spellEnd"/>
      <w:r w:rsidR="00422F7D" w:rsidRPr="00832C42">
        <w:t> </w:t>
      </w:r>
      <w:r w:rsidR="00832C42">
        <w:t>hydrique</w:t>
      </w:r>
      <w:r w:rsidR="00422F7D">
        <w:t>:</w:t>
      </w:r>
    </w:p>
    <w:p w14:paraId="422693BE" w14:textId="51191580" w:rsidR="001677DE" w:rsidRPr="001677DE" w:rsidRDefault="001677DE" w:rsidP="00AC3626">
      <w:pPr>
        <w:pStyle w:val="ListParagraph"/>
        <w:numPr>
          <w:ilvl w:val="2"/>
          <w:numId w:val="4"/>
        </w:numPr>
        <w:rPr>
          <w:color w:val="FF0000"/>
        </w:rPr>
      </w:pPr>
      <w:r w:rsidRPr="001677DE">
        <w:rPr>
          <w:color w:val="FF0000"/>
        </w:rPr>
        <w:t>Pas de réhydratation IV hors c</w:t>
      </w:r>
      <w:r>
        <w:rPr>
          <w:color w:val="FF0000"/>
        </w:rPr>
        <w:t>h</w:t>
      </w:r>
      <w:r w:rsidRPr="001677DE">
        <w:rPr>
          <w:color w:val="FF0000"/>
        </w:rPr>
        <w:t>oc !</w:t>
      </w:r>
    </w:p>
    <w:p w14:paraId="5C22B8C7" w14:textId="509133BE" w:rsidR="00AC3626" w:rsidRPr="00AC3626" w:rsidRDefault="00422F7D" w:rsidP="00AC3626">
      <w:pPr>
        <w:pStyle w:val="ListParagraph"/>
        <w:numPr>
          <w:ilvl w:val="2"/>
          <w:numId w:val="4"/>
        </w:numPr>
      </w:pPr>
      <w:r>
        <w:t xml:space="preserve">Si l’enfant est déshydraté </w:t>
      </w:r>
      <w:r>
        <w:sym w:font="Wingdings" w:char="F0E0"/>
      </w:r>
      <w:r>
        <w:t xml:space="preserve">réhydratation </w:t>
      </w:r>
      <w:r w:rsidR="00E44ACB" w:rsidRPr="00AC3626">
        <w:t>sur 24 heures</w:t>
      </w:r>
      <w:r w:rsidR="00E44ACB" w:rsidRPr="00E44ACB">
        <w:t xml:space="preserve"> </w:t>
      </w:r>
      <w:r>
        <w:t>avec solution OMS ou GES 45</w:t>
      </w:r>
      <w:r w:rsidR="00E44ACB" w:rsidRPr="00E44ACB">
        <w:t xml:space="preserve"> ou exceptionnellement par voie parentérale (CHUV).</w:t>
      </w:r>
      <w:r w:rsidR="00AC3626">
        <w:t xml:space="preserve"> Ex :</w:t>
      </w:r>
      <w:r w:rsidR="00AC3626" w:rsidRPr="00AC3626">
        <w:t xml:space="preserve"> 5 ml/kg </w:t>
      </w:r>
      <w:proofErr w:type="spellStart"/>
      <w:r w:rsidR="00AC3626" w:rsidRPr="00AC3626">
        <w:t>toutes</w:t>
      </w:r>
      <w:proofErr w:type="spellEnd"/>
      <w:r w:rsidR="00AC3626" w:rsidRPr="00AC3626">
        <w:t xml:space="preserve"> les  30 min pendant 2 </w:t>
      </w:r>
      <w:proofErr w:type="spellStart"/>
      <w:r w:rsidR="00AC3626" w:rsidRPr="00AC3626">
        <w:t>heures</w:t>
      </w:r>
      <w:proofErr w:type="spellEnd"/>
      <w:r w:rsidR="00AC3626" w:rsidRPr="00AC3626">
        <w:t xml:space="preserve"> </w:t>
      </w:r>
      <w:proofErr w:type="spellStart"/>
      <w:r w:rsidR="00AC3626" w:rsidRPr="00AC3626">
        <w:t>puis</w:t>
      </w:r>
      <w:proofErr w:type="spellEnd"/>
      <w:r w:rsidR="00AC3626" w:rsidRPr="00AC3626">
        <w:t xml:space="preserve"> 5–10 ml/kg </w:t>
      </w:r>
      <w:proofErr w:type="spellStart"/>
      <w:r w:rsidR="00AC3626" w:rsidRPr="00AC3626">
        <w:t>toutes</w:t>
      </w:r>
      <w:proofErr w:type="spellEnd"/>
      <w:r w:rsidR="00AC3626" w:rsidRPr="00AC3626">
        <w:t xml:space="preserve"> les 2h pendant les  4–10 </w:t>
      </w:r>
      <w:proofErr w:type="spellStart"/>
      <w:r w:rsidR="00AC3626" w:rsidRPr="00AC3626">
        <w:t>heures</w:t>
      </w:r>
      <w:proofErr w:type="spellEnd"/>
      <w:r w:rsidR="00AC3626" w:rsidRPr="00AC3626">
        <w:t xml:space="preserve"> suivantes</w:t>
      </w:r>
      <w:r w:rsidR="00AC3626">
        <w:t xml:space="preserve"> (attitude OMS)</w:t>
      </w:r>
      <w:r w:rsidR="00AC3626" w:rsidRPr="00AC3626">
        <w:t xml:space="preserve">. </w:t>
      </w:r>
    </w:p>
    <w:p w14:paraId="22406057" w14:textId="1F6D5617" w:rsidR="00422F7D" w:rsidRPr="00832C42" w:rsidRDefault="00422F7D" w:rsidP="00422F7D">
      <w:pPr>
        <w:pStyle w:val="ListParagraph"/>
        <w:numPr>
          <w:ilvl w:val="2"/>
          <w:numId w:val="4"/>
        </w:numPr>
      </w:pPr>
      <w:r>
        <w:t xml:space="preserve">Sinon apports de base </w:t>
      </w:r>
      <w:r w:rsidRPr="00422F7D">
        <w:rPr>
          <w:b/>
        </w:rPr>
        <w:t>sans excès</w:t>
      </w:r>
    </w:p>
    <w:p w14:paraId="3D3B130E" w14:textId="49CAEB62" w:rsidR="008D3839" w:rsidRPr="00386160" w:rsidRDefault="008D3839" w:rsidP="008D3839">
      <w:pPr>
        <w:pStyle w:val="ListParagraph"/>
        <w:numPr>
          <w:ilvl w:val="1"/>
          <w:numId w:val="4"/>
        </w:numPr>
      </w:pPr>
      <w:r w:rsidRPr="00386160">
        <w:rPr>
          <w:b/>
        </w:rPr>
        <w:t>Remplacement du déficit en Vitamine B1</w:t>
      </w:r>
      <w:r w:rsidRPr="00386160">
        <w:t xml:space="preserve"> </w:t>
      </w:r>
      <w:r w:rsidR="00FA04FB">
        <w:t>(</w:t>
      </w:r>
      <w:r w:rsidR="00FA04FB" w:rsidRPr="00386160">
        <w:t>Thiamine</w:t>
      </w:r>
      <w:r w:rsidR="00FA04FB">
        <w:t>)</w:t>
      </w:r>
      <w:r w:rsidRPr="00386160">
        <w:t xml:space="preserve">: </w:t>
      </w:r>
    </w:p>
    <w:p w14:paraId="1E56D608" w14:textId="759544AB" w:rsidR="008D3839" w:rsidRPr="00386160" w:rsidRDefault="008D3839" w:rsidP="008D3839">
      <w:pPr>
        <w:pStyle w:val="ListParagraph"/>
        <w:numPr>
          <w:ilvl w:val="2"/>
          <w:numId w:val="4"/>
        </w:numPr>
      </w:pPr>
      <w:r w:rsidRPr="00386160">
        <w:t xml:space="preserve">100 -300 mg/jour </w:t>
      </w:r>
      <w:r w:rsidR="00FA04FB">
        <w:t xml:space="preserve">de thiamine </w:t>
      </w:r>
      <w:r w:rsidRPr="00386160">
        <w:t xml:space="preserve">per os pendant total de </w:t>
      </w:r>
      <w:r w:rsidRPr="00FA04FB">
        <w:rPr>
          <w:b/>
        </w:rPr>
        <w:t>3 jours</w:t>
      </w:r>
      <w:r w:rsidRPr="00386160">
        <w:t xml:space="preserve"> ou</w:t>
      </w:r>
    </w:p>
    <w:p w14:paraId="045DB180" w14:textId="49FE8BEC" w:rsidR="008D3839" w:rsidRDefault="008D3839" w:rsidP="008D3839">
      <w:pPr>
        <w:pStyle w:val="ListParagraph"/>
        <w:numPr>
          <w:ilvl w:val="2"/>
          <w:numId w:val="4"/>
        </w:numPr>
      </w:pPr>
      <w:r w:rsidRPr="00386160">
        <w:t xml:space="preserve"> 50-100 mg/jour </w:t>
      </w:r>
      <w:r w:rsidR="00FA04FB">
        <w:t xml:space="preserve">de thiamine </w:t>
      </w:r>
      <w:r w:rsidRPr="00386160">
        <w:t xml:space="preserve">IV pendant total de </w:t>
      </w:r>
      <w:r w:rsidRPr="00FA04FB">
        <w:rPr>
          <w:b/>
        </w:rPr>
        <w:t>3 jours</w:t>
      </w:r>
    </w:p>
    <w:p w14:paraId="196F1EA5" w14:textId="48FE17AE" w:rsidR="008D3839" w:rsidRPr="00386160" w:rsidRDefault="008D3839" w:rsidP="008D3839">
      <w:pPr>
        <w:pStyle w:val="ListParagraph"/>
        <w:numPr>
          <w:ilvl w:val="2"/>
          <w:numId w:val="4"/>
        </w:numPr>
      </w:pPr>
      <w:r w:rsidRPr="00386160">
        <w:t xml:space="preserve">Nb : ces doses peuvent être augmentée en cas d’encéphalopathie de </w:t>
      </w:r>
      <w:r w:rsidRPr="00832C42">
        <w:rPr>
          <w:b/>
        </w:rPr>
        <w:t>Wernicke</w:t>
      </w:r>
      <w:r w:rsidR="00FA04FB">
        <w:rPr>
          <w:b/>
        </w:rPr>
        <w:t> </w:t>
      </w:r>
      <w:r w:rsidR="00FA04FB">
        <w:t xml:space="preserve">: </w:t>
      </w:r>
      <w:proofErr w:type="spellStart"/>
      <w:r w:rsidRPr="00386160">
        <w:t>ophtalmoplégie</w:t>
      </w:r>
      <w:proofErr w:type="spellEnd"/>
      <w:r w:rsidRPr="00386160">
        <w:t>/nystagmus/diplopie- ataxie/</w:t>
      </w:r>
      <w:proofErr w:type="spellStart"/>
      <w:r w:rsidRPr="00386160">
        <w:t>tbl</w:t>
      </w:r>
      <w:proofErr w:type="spellEnd"/>
      <w:r w:rsidRPr="00386160">
        <w:t xml:space="preserve"> déglutition- somnol</w:t>
      </w:r>
      <w:r w:rsidR="00FA04FB">
        <w:t>ence/confusion/perte de mémoire.</w:t>
      </w:r>
    </w:p>
    <w:p w14:paraId="5D3825AB" w14:textId="02F48DB8" w:rsidR="00FA04FB" w:rsidRDefault="00092027" w:rsidP="00FA04FB">
      <w:pPr>
        <w:pStyle w:val="ListParagraph"/>
        <w:numPr>
          <w:ilvl w:val="1"/>
          <w:numId w:val="4"/>
        </w:numPr>
      </w:pPr>
      <w:r w:rsidRPr="00092027">
        <w:rPr>
          <w:b/>
        </w:rPr>
        <w:t>Déficit en</w:t>
      </w:r>
      <w:r>
        <w:t xml:space="preserve"> </w:t>
      </w:r>
      <w:r>
        <w:rPr>
          <w:b/>
        </w:rPr>
        <w:t xml:space="preserve">Vitamine A (Afrique) </w:t>
      </w:r>
      <w:r w:rsidR="00FA04FB">
        <w:t>en cas de</w:t>
      </w:r>
      <w:r w:rsidRPr="00092027">
        <w:t xml:space="preserve"> symptômes: </w:t>
      </w:r>
      <w:r w:rsidR="00A82F41" w:rsidRPr="00092027">
        <w:t>ulcération corné</w:t>
      </w:r>
      <w:r w:rsidR="00FA04FB">
        <w:t>e</w:t>
      </w:r>
      <w:r w:rsidR="00A82F41" w:rsidRPr="00092027">
        <w:t>nne</w:t>
      </w:r>
      <w:r>
        <w:t xml:space="preserve">, tache de </w:t>
      </w:r>
      <w:proofErr w:type="spellStart"/>
      <w:r>
        <w:t>Bitô</w:t>
      </w:r>
      <w:r w:rsidRPr="00092027">
        <w:t>t</w:t>
      </w:r>
      <w:proofErr w:type="spellEnd"/>
      <w:r w:rsidR="00A82F41" w:rsidRPr="00092027">
        <w:t>/atteinte visuelle</w:t>
      </w:r>
      <w:r w:rsidRPr="00092027">
        <w:t xml:space="preserve"> ou ATCD de rougeole</w:t>
      </w:r>
      <w:r w:rsidR="00A82F41" w:rsidRPr="00092027">
        <w:t xml:space="preserve"> </w:t>
      </w:r>
      <w:r w:rsidR="00FA04FB">
        <w:sym w:font="Wingdings" w:char="F0E0"/>
      </w:r>
      <w:r w:rsidR="00FA04FB">
        <w:t xml:space="preserve"> donner </w:t>
      </w:r>
      <w:r w:rsidRPr="00092027">
        <w:t>à J1, J2 et j14</w:t>
      </w:r>
      <w:r w:rsidR="00FA04FB">
        <w:t> </w:t>
      </w:r>
      <w:r w:rsidR="00FA04FB">
        <w:t>(recommandations OMS)</w:t>
      </w:r>
      <w:r w:rsidR="00FA04FB">
        <w:t> :</w:t>
      </w:r>
    </w:p>
    <w:p w14:paraId="34789DA6" w14:textId="2A5947F1" w:rsidR="00A82F41" w:rsidRPr="00A82F41" w:rsidRDefault="00A82F41" w:rsidP="00A82F41">
      <w:pPr>
        <w:pStyle w:val="ListParagraph"/>
        <w:numPr>
          <w:ilvl w:val="2"/>
          <w:numId w:val="4"/>
        </w:numPr>
      </w:pPr>
      <w:r w:rsidRPr="00A82F41">
        <w:t xml:space="preserve">&lt; 6 </w:t>
      </w:r>
      <w:r w:rsidR="00FA04FB">
        <w:t>mois</w:t>
      </w:r>
      <w:r w:rsidRPr="00A82F41">
        <w:t>, 50 000  U</w:t>
      </w:r>
    </w:p>
    <w:p w14:paraId="00ABEACF" w14:textId="15A19FB2" w:rsidR="00A82F41" w:rsidRPr="00A82F41" w:rsidRDefault="00A82F41" w:rsidP="00A82F41">
      <w:pPr>
        <w:pStyle w:val="ListParagraph"/>
        <w:numPr>
          <w:ilvl w:val="2"/>
          <w:numId w:val="4"/>
        </w:numPr>
      </w:pPr>
      <w:r w:rsidRPr="00A82F41">
        <w:t xml:space="preserve"> 6–12 </w:t>
      </w:r>
      <w:r w:rsidR="00FA04FB">
        <w:t>mois</w:t>
      </w:r>
      <w:r w:rsidRPr="00A82F41">
        <w:t>, 100 000 U</w:t>
      </w:r>
    </w:p>
    <w:p w14:paraId="37E79B89" w14:textId="77777777" w:rsidR="00FA04FB" w:rsidRDefault="00A82F41" w:rsidP="00A82F41">
      <w:pPr>
        <w:pStyle w:val="ListParagraph"/>
        <w:numPr>
          <w:ilvl w:val="2"/>
          <w:numId w:val="4"/>
        </w:numPr>
      </w:pPr>
      <w:r w:rsidRPr="00A82F41">
        <w:t xml:space="preserve">&gt; 12 </w:t>
      </w:r>
      <w:r w:rsidR="00FA04FB">
        <w:t>mois</w:t>
      </w:r>
      <w:r w:rsidRPr="00A82F41">
        <w:t>, 200 000 U</w:t>
      </w:r>
      <w:r w:rsidR="00FA04FB">
        <w:t xml:space="preserve"> </w:t>
      </w:r>
    </w:p>
    <w:p w14:paraId="090C379A" w14:textId="2AA26339" w:rsidR="001677DE" w:rsidRDefault="008D3839" w:rsidP="001677DE">
      <w:pPr>
        <w:pStyle w:val="ListParagraph"/>
        <w:numPr>
          <w:ilvl w:val="1"/>
          <w:numId w:val="4"/>
        </w:numPr>
      </w:pPr>
      <w:proofErr w:type="spellStart"/>
      <w:r>
        <w:rPr>
          <w:b/>
        </w:rPr>
        <w:t>Electolytes</w:t>
      </w:r>
      <w:proofErr w:type="spellEnd"/>
      <w:r>
        <w:rPr>
          <w:b/>
        </w:rPr>
        <w:t>, vitamines et</w:t>
      </w:r>
      <w:r w:rsidR="001677DE">
        <w:rPr>
          <w:b/>
        </w:rPr>
        <w:t xml:space="preserve"> </w:t>
      </w:r>
      <w:proofErr w:type="spellStart"/>
      <w:r>
        <w:rPr>
          <w:b/>
        </w:rPr>
        <w:t>micronutiments</w:t>
      </w:r>
      <w:proofErr w:type="spellEnd"/>
      <w:r>
        <w:rPr>
          <w:b/>
        </w:rPr>
        <w:t xml:space="preserve"> </w:t>
      </w:r>
      <w:r w:rsidR="001677DE" w:rsidRPr="001677DE">
        <w:t>(à mélanger dans la nourriture):</w:t>
      </w:r>
    </w:p>
    <w:p w14:paraId="058FC1F3" w14:textId="6386B4FF" w:rsidR="00DE5D07" w:rsidRPr="00DE5D07" w:rsidRDefault="00DE5D07" w:rsidP="00DE5D07">
      <w:pPr>
        <w:pStyle w:val="ListParagraph"/>
        <w:numPr>
          <w:ilvl w:val="2"/>
          <w:numId w:val="4"/>
        </w:numPr>
      </w:pPr>
      <w:r>
        <w:rPr>
          <w:b/>
        </w:rPr>
        <w:t>Zinc : 2 mg/kg/j</w:t>
      </w:r>
      <w:r w:rsidR="006E4D6A">
        <w:rPr>
          <w:b/>
        </w:rPr>
        <w:t xml:space="preserve"> </w:t>
      </w:r>
      <w:r w:rsidR="006E4D6A" w:rsidRPr="006E4D6A">
        <w:rPr>
          <w:b/>
          <w:color w:val="FF0000"/>
        </w:rPr>
        <w:t>surtout si kwashiorkor</w:t>
      </w:r>
      <w:r w:rsidR="006E4D6A">
        <w:rPr>
          <w:b/>
          <w:color w:val="FF0000"/>
        </w:rPr>
        <w:t xml:space="preserve"> avec lésions cutanées</w:t>
      </w:r>
    </w:p>
    <w:p w14:paraId="6145AAC4" w14:textId="1732D51E" w:rsidR="00DE5D07" w:rsidRPr="00DE5D07" w:rsidRDefault="00DE5D07" w:rsidP="00DE5D07">
      <w:pPr>
        <w:pStyle w:val="ListParagraph"/>
        <w:numPr>
          <w:ilvl w:val="2"/>
          <w:numId w:val="4"/>
        </w:numPr>
      </w:pPr>
      <w:r>
        <w:rPr>
          <w:b/>
        </w:rPr>
        <w:t>Cuivre : 0,3 mg/kg/j</w:t>
      </w:r>
    </w:p>
    <w:p w14:paraId="2EA442C0" w14:textId="77777777" w:rsidR="00FA04FB" w:rsidRPr="00FA04FB" w:rsidRDefault="00DE5D07" w:rsidP="00FA04FB">
      <w:pPr>
        <w:pStyle w:val="ListParagraph"/>
        <w:numPr>
          <w:ilvl w:val="2"/>
          <w:numId w:val="4"/>
        </w:numPr>
      </w:pPr>
      <w:proofErr w:type="spellStart"/>
      <w:r>
        <w:rPr>
          <w:b/>
        </w:rPr>
        <w:t>Ac.folique</w:t>
      </w:r>
      <w:proofErr w:type="spellEnd"/>
      <w:r>
        <w:rPr>
          <w:b/>
        </w:rPr>
        <w:t> : 5 mg à j1 puis 1 mg/j</w:t>
      </w:r>
    </w:p>
    <w:p w14:paraId="232D3205" w14:textId="060AAC1F" w:rsidR="00FA04FB" w:rsidRPr="001677DE" w:rsidRDefault="00FA04FB" w:rsidP="00FA04FB">
      <w:pPr>
        <w:pStyle w:val="ListParagraph"/>
        <w:numPr>
          <w:ilvl w:val="2"/>
          <w:numId w:val="4"/>
        </w:numPr>
      </w:pPr>
      <w:r w:rsidRPr="00FA04FB">
        <w:rPr>
          <w:b/>
        </w:rPr>
        <w:t>Vitamine B12</w:t>
      </w:r>
      <w:r>
        <w:t xml:space="preserve"> selon les cas</w:t>
      </w:r>
    </w:p>
    <w:p w14:paraId="34BDB4A3" w14:textId="77777777" w:rsidR="001677DE" w:rsidRDefault="001677DE" w:rsidP="001677DE">
      <w:pPr>
        <w:ind w:left="1701"/>
        <w:rPr>
          <w:lang w:val="en-GB"/>
        </w:rPr>
      </w:pPr>
      <w:r>
        <w:rPr>
          <w:noProof/>
          <w:lang w:val="en-US"/>
        </w:rPr>
        <w:drawing>
          <wp:inline distT="0" distB="0" distL="0" distR="0" wp14:anchorId="3F53D3CA" wp14:editId="0CC3E8D8">
            <wp:extent cx="4292388" cy="2447673"/>
            <wp:effectExtent l="0" t="0" r="635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723" cy="2449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BA8E4" w14:textId="035E7A8F" w:rsidR="00832C42" w:rsidRDefault="001677DE" w:rsidP="001677DE">
      <w:pPr>
        <w:rPr>
          <w:i/>
          <w:lang w:val="en-GB"/>
        </w:rPr>
      </w:pPr>
      <w:r w:rsidRPr="00375A1B">
        <w:rPr>
          <w:i/>
          <w:lang w:val="en-GB"/>
        </w:rPr>
        <w:tab/>
      </w:r>
      <w:r w:rsidRPr="00375A1B">
        <w:rPr>
          <w:i/>
          <w:lang w:val="en-GB"/>
        </w:rPr>
        <w:tab/>
      </w:r>
      <w:r w:rsidRPr="00375A1B">
        <w:rPr>
          <w:i/>
          <w:lang w:val="en-GB"/>
        </w:rPr>
        <w:tab/>
      </w:r>
      <w:r w:rsidR="00375A1B" w:rsidRPr="00375A1B">
        <w:rPr>
          <w:i/>
          <w:lang w:val="en-GB"/>
        </w:rPr>
        <w:t xml:space="preserve">Propositions </w:t>
      </w:r>
      <w:r w:rsidRPr="00375A1B">
        <w:rPr>
          <w:i/>
          <w:lang w:val="en-GB"/>
        </w:rPr>
        <w:t>CHUV</w:t>
      </w:r>
      <w:r w:rsidR="00FA04FB">
        <w:rPr>
          <w:i/>
          <w:lang w:val="en-GB"/>
        </w:rPr>
        <w:t xml:space="preserve"> (pour 2ème phase de </w:t>
      </w:r>
      <w:proofErr w:type="spellStart"/>
      <w:r w:rsidR="00FA04FB">
        <w:rPr>
          <w:i/>
          <w:lang w:val="en-GB"/>
        </w:rPr>
        <w:t>renutrition</w:t>
      </w:r>
      <w:proofErr w:type="spellEnd"/>
      <w:r w:rsidR="00FA04FB">
        <w:rPr>
          <w:i/>
          <w:lang w:val="en-GB"/>
        </w:rPr>
        <w:t xml:space="preserve"> après J7)</w:t>
      </w:r>
    </w:p>
    <w:p w14:paraId="624D3512" w14:textId="77777777" w:rsidR="00832C42" w:rsidRPr="00832C42" w:rsidRDefault="00832C42" w:rsidP="006C31C3"/>
    <w:p w14:paraId="687A343D" w14:textId="3C599FFC" w:rsidR="003D54D6" w:rsidRDefault="003D54D6" w:rsidP="008D3839">
      <w:r w:rsidRPr="00386160">
        <w:rPr>
          <w:noProof/>
          <w:lang w:val="en-US"/>
        </w:rPr>
        <w:drawing>
          <wp:inline distT="0" distB="0" distL="0" distR="0" wp14:anchorId="0B31CF06" wp14:editId="22CAED2D">
            <wp:extent cx="6136371" cy="3551688"/>
            <wp:effectExtent l="0" t="0" r="1079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631" cy="355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38749" w14:textId="6E277820" w:rsidR="00437EDE" w:rsidRPr="00437EDE" w:rsidRDefault="00437EDE" w:rsidP="00437EDE">
      <w:pPr>
        <w:ind w:left="8640"/>
        <w:rPr>
          <w:i/>
        </w:rPr>
      </w:pPr>
      <w:r w:rsidRPr="00437EDE">
        <w:rPr>
          <w:i/>
        </w:rPr>
        <w:t>PIR 2016</w:t>
      </w:r>
    </w:p>
    <w:p w14:paraId="5E3AA2C8" w14:textId="5EA5ACBF" w:rsidR="000C2B91" w:rsidRPr="006C31C3" w:rsidRDefault="00293F7B" w:rsidP="006C31C3">
      <w:pPr>
        <w:widowControl w:val="0"/>
        <w:autoSpaceDE w:val="0"/>
        <w:autoSpaceDN w:val="0"/>
        <w:adjustRightInd w:val="0"/>
        <w:rPr>
          <w:color w:val="FF0000"/>
        </w:rPr>
      </w:pPr>
      <w:r w:rsidRPr="000C2B91">
        <w:t xml:space="preserve">Nb : </w:t>
      </w:r>
      <w:r w:rsidR="006C31C3" w:rsidRPr="006C31C3">
        <w:rPr>
          <w:color w:val="FF0000"/>
        </w:rPr>
        <w:t xml:space="preserve">En urgence, </w:t>
      </w:r>
      <w:r w:rsidR="006C31C3" w:rsidRPr="006C31C3">
        <w:t xml:space="preserve">on peut administrer sans risques du </w:t>
      </w:r>
      <w:r w:rsidR="006C31C3" w:rsidRPr="006C31C3">
        <w:rPr>
          <w:color w:val="FF0000"/>
        </w:rPr>
        <w:t>phosphate</w:t>
      </w:r>
      <w:r w:rsidR="006C31C3" w:rsidRPr="006C31C3">
        <w:t xml:space="preserve"> par voie IV à raison de</w:t>
      </w:r>
      <w:r w:rsidR="006C31C3" w:rsidRPr="006C31C3">
        <w:rPr>
          <w:color w:val="FF0000"/>
        </w:rPr>
        <w:t xml:space="preserve"> </w:t>
      </w:r>
      <w:r w:rsidR="006C31C3" w:rsidRPr="006C31C3">
        <w:rPr>
          <w:b/>
          <w:color w:val="FF0000"/>
        </w:rPr>
        <w:t xml:space="preserve">3 </w:t>
      </w:r>
      <w:proofErr w:type="spellStart"/>
      <w:r w:rsidR="006C31C3" w:rsidRPr="006C31C3">
        <w:rPr>
          <w:b/>
          <w:color w:val="FF0000"/>
        </w:rPr>
        <w:t>mmol</w:t>
      </w:r>
      <w:proofErr w:type="spellEnd"/>
      <w:r w:rsidR="006C31C3" w:rsidRPr="006C31C3">
        <w:rPr>
          <w:b/>
          <w:color w:val="FF0000"/>
        </w:rPr>
        <w:t>/h</w:t>
      </w:r>
      <w:r w:rsidR="006C31C3" w:rsidRPr="006C31C3">
        <w:rPr>
          <w:color w:val="FF0000"/>
        </w:rPr>
        <w:t xml:space="preserve"> ou 30 </w:t>
      </w:r>
      <w:proofErr w:type="spellStart"/>
      <w:r w:rsidR="006C31C3" w:rsidRPr="006C31C3">
        <w:rPr>
          <w:color w:val="FF0000"/>
        </w:rPr>
        <w:t>mmol</w:t>
      </w:r>
      <w:proofErr w:type="spellEnd"/>
      <w:r w:rsidR="006C31C3" w:rsidRPr="006C31C3">
        <w:rPr>
          <w:color w:val="FF0000"/>
        </w:rPr>
        <w:t>/jour</w:t>
      </w:r>
      <w:r w:rsidR="006C31C3">
        <w:rPr>
          <w:color w:val="FF0000"/>
        </w:rPr>
        <w:t xml:space="preserve"> </w:t>
      </w:r>
      <w:r w:rsidR="006C31C3" w:rsidRPr="006C31C3">
        <w:rPr>
          <w:color w:val="FF0000"/>
        </w:rPr>
        <w:sym w:font="Wingdings" w:char="F0E0"/>
      </w:r>
      <w:r w:rsidR="006C31C3">
        <w:rPr>
          <w:color w:val="FF0000"/>
        </w:rPr>
        <w:t xml:space="preserve"> </w:t>
      </w:r>
      <w:r w:rsidR="000C2B91">
        <w:t>Si K+ &gt;</w:t>
      </w:r>
      <w:r w:rsidRPr="000C2B91">
        <w:t xml:space="preserve"> 4 </w:t>
      </w:r>
      <w:proofErr w:type="spellStart"/>
      <w:r w:rsidRPr="000C2B91">
        <w:t>mmol</w:t>
      </w:r>
      <w:proofErr w:type="spellEnd"/>
      <w:r w:rsidRPr="000C2B91">
        <w:t xml:space="preserve">/L </w:t>
      </w:r>
      <w:r w:rsidR="000C2B91">
        <w:sym w:font="Wingdings" w:char="F0E0"/>
      </w:r>
      <w:r w:rsidRPr="000C2B91">
        <w:t xml:space="preserve"> </w:t>
      </w:r>
      <w:proofErr w:type="spellStart"/>
      <w:r w:rsidR="000C2B91">
        <w:t>NaPhos</w:t>
      </w:r>
      <w:proofErr w:type="spellEnd"/>
      <w:r w:rsidR="000C2B91">
        <w:t xml:space="preserve"> </w:t>
      </w:r>
      <w:r w:rsidR="006C31C3" w:rsidRPr="006C31C3">
        <w:t>et</w:t>
      </w:r>
      <w:r w:rsidR="006C31C3">
        <w:rPr>
          <w:color w:val="FF0000"/>
        </w:rPr>
        <w:t xml:space="preserve"> </w:t>
      </w:r>
      <w:r w:rsidR="006C31C3">
        <w:t>s</w:t>
      </w:r>
      <w:r w:rsidR="000C2B91">
        <w:t>i K+ &lt;</w:t>
      </w:r>
      <w:r w:rsidR="000C2B91" w:rsidRPr="000C2B91">
        <w:t xml:space="preserve"> 4 </w:t>
      </w:r>
      <w:proofErr w:type="spellStart"/>
      <w:r w:rsidR="000C2B91" w:rsidRPr="000C2B91">
        <w:t>mmol</w:t>
      </w:r>
      <w:proofErr w:type="spellEnd"/>
      <w:r w:rsidR="000C2B91" w:rsidRPr="000C2B91">
        <w:t xml:space="preserve">/L </w:t>
      </w:r>
      <w:r w:rsidR="000C2B91">
        <w:sym w:font="Wingdings" w:char="F0E0"/>
      </w:r>
      <w:r w:rsidR="000C2B91" w:rsidRPr="000C2B91">
        <w:t xml:space="preserve"> </w:t>
      </w:r>
      <w:proofErr w:type="spellStart"/>
      <w:r w:rsidR="000C2B91">
        <w:t>KPhos</w:t>
      </w:r>
      <w:proofErr w:type="spellEnd"/>
      <w:r w:rsidR="000C2B91">
        <w:t xml:space="preserve"> </w:t>
      </w:r>
    </w:p>
    <w:p w14:paraId="5414423B" w14:textId="77777777" w:rsidR="006C31C3" w:rsidRPr="000C2B91" w:rsidRDefault="006C31C3" w:rsidP="006C31C3">
      <w:pPr>
        <w:pStyle w:val="ListParagraph"/>
        <w:widowControl w:val="0"/>
        <w:autoSpaceDE w:val="0"/>
        <w:autoSpaceDN w:val="0"/>
        <w:adjustRightInd w:val="0"/>
        <w:ind w:left="1440"/>
        <w:rPr>
          <w:color w:val="FF0000"/>
        </w:rPr>
      </w:pPr>
    </w:p>
    <w:p w14:paraId="56B5DE97" w14:textId="77777777" w:rsidR="006C31C3" w:rsidRPr="006C31C3" w:rsidRDefault="006C31C3" w:rsidP="006C31C3">
      <w:pPr>
        <w:ind w:left="1080"/>
        <w:rPr>
          <w:lang w:val="en-GB"/>
        </w:rPr>
      </w:pPr>
      <w:r>
        <w:rPr>
          <w:noProof/>
          <w:lang w:val="en-US"/>
        </w:rPr>
        <w:drawing>
          <wp:inline distT="0" distB="0" distL="0" distR="0" wp14:anchorId="390B84FD" wp14:editId="09F9B535">
            <wp:extent cx="5191945" cy="2662343"/>
            <wp:effectExtent l="0" t="0" r="0" b="508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98"/>
                    <a:stretch/>
                  </pic:blipFill>
                  <pic:spPr bwMode="auto">
                    <a:xfrm>
                      <a:off x="0" y="0"/>
                      <a:ext cx="5193983" cy="2663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292F62" w14:textId="440377B5" w:rsidR="006C31C3" w:rsidRPr="006C31C3" w:rsidRDefault="006C31C3" w:rsidP="006C31C3">
      <w:pPr>
        <w:pStyle w:val="ListParagraph"/>
        <w:ind w:left="1440"/>
        <w:rPr>
          <w:i/>
          <w:lang w:val="en-GB"/>
        </w:rPr>
      </w:pPr>
      <w:r w:rsidRPr="006C31C3">
        <w:rPr>
          <w:i/>
          <w:lang w:val="en-GB"/>
        </w:rPr>
        <w:tab/>
      </w:r>
      <w:r w:rsidRPr="006C31C3">
        <w:rPr>
          <w:i/>
          <w:lang w:val="en-GB"/>
        </w:rPr>
        <w:tab/>
      </w:r>
      <w:r w:rsidRPr="006C31C3">
        <w:rPr>
          <w:i/>
          <w:lang w:val="en-GB"/>
        </w:rPr>
        <w:tab/>
      </w:r>
      <w:r w:rsidRPr="006C31C3">
        <w:rPr>
          <w:i/>
          <w:lang w:val="en-GB"/>
        </w:rPr>
        <w:tab/>
        <w:t xml:space="preserve">                                                      </w:t>
      </w:r>
      <w:proofErr w:type="spellStart"/>
      <w:r w:rsidRPr="006C31C3">
        <w:rPr>
          <w:i/>
          <w:lang w:val="en-GB"/>
        </w:rPr>
        <w:t>Séquence</w:t>
      </w:r>
      <w:proofErr w:type="spellEnd"/>
      <w:r w:rsidRPr="006C31C3">
        <w:rPr>
          <w:i/>
          <w:lang w:val="en-GB"/>
        </w:rPr>
        <w:t xml:space="preserve"> OMS</w:t>
      </w:r>
    </w:p>
    <w:p w14:paraId="696F05C5" w14:textId="77777777" w:rsidR="00057B8F" w:rsidRPr="00386160" w:rsidRDefault="00057B8F" w:rsidP="00057B8F">
      <w:pPr>
        <w:pStyle w:val="ListParagraph"/>
        <w:ind w:left="1440"/>
      </w:pPr>
    </w:p>
    <w:p w14:paraId="76F82B6E" w14:textId="70F42406" w:rsidR="00A6220D" w:rsidRPr="00386160" w:rsidRDefault="00A6220D" w:rsidP="00A6220D">
      <w:pPr>
        <w:pStyle w:val="ListParagraph"/>
        <w:numPr>
          <w:ilvl w:val="0"/>
          <w:numId w:val="4"/>
        </w:numPr>
      </w:pPr>
      <w:r w:rsidRPr="00386160">
        <w:rPr>
          <w:b/>
        </w:rPr>
        <w:t>Surveill</w:t>
      </w:r>
      <w:r w:rsidR="00A228F7">
        <w:rPr>
          <w:b/>
        </w:rPr>
        <w:t>ance</w:t>
      </w:r>
      <w:r w:rsidRPr="00386160">
        <w:t xml:space="preserve"> l’évolution clinique :</w:t>
      </w:r>
    </w:p>
    <w:p w14:paraId="29A71B04" w14:textId="37E8D91F" w:rsidR="00A6220D" w:rsidRPr="00386160" w:rsidRDefault="00A6220D" w:rsidP="00A6220D">
      <w:pPr>
        <w:pStyle w:val="ListParagraph"/>
        <w:numPr>
          <w:ilvl w:val="1"/>
          <w:numId w:val="4"/>
        </w:numPr>
      </w:pPr>
      <w:r w:rsidRPr="00386160">
        <w:rPr>
          <w:b/>
        </w:rPr>
        <w:t xml:space="preserve">Constantes vitales (FC, FR, TA, </w:t>
      </w:r>
      <w:proofErr w:type="spellStart"/>
      <w:r w:rsidRPr="00386160">
        <w:rPr>
          <w:b/>
        </w:rPr>
        <w:t>Satu</w:t>
      </w:r>
      <w:proofErr w:type="spellEnd"/>
      <w:r w:rsidRPr="00386160">
        <w:rPr>
          <w:b/>
        </w:rPr>
        <w:t>, T°) toutes 4h</w:t>
      </w:r>
      <w:r w:rsidRPr="00386160">
        <w:t xml:space="preserve"> </w:t>
      </w:r>
      <w:r>
        <w:t>+</w:t>
      </w:r>
      <w:r w:rsidRPr="00386160">
        <w:t xml:space="preserve"> </w:t>
      </w:r>
      <w:r w:rsidRPr="00386160">
        <w:rPr>
          <w:b/>
        </w:rPr>
        <w:t>diurèse</w:t>
      </w:r>
      <w:r w:rsidRPr="00386160">
        <w:t xml:space="preserve"> </w:t>
      </w:r>
      <w:r>
        <w:sym w:font="Wingdings" w:char="F0E0"/>
      </w:r>
      <w:r w:rsidRPr="00386160">
        <w:t xml:space="preserve"> monitoring en continu dans les cas les plus graves</w:t>
      </w:r>
      <w:r w:rsidR="001677DE">
        <w:sym w:font="Wingdings" w:char="F0E0"/>
      </w:r>
      <w:r w:rsidR="001677DE">
        <w:t xml:space="preserve"> pister </w:t>
      </w:r>
      <w:proofErr w:type="spellStart"/>
      <w:r w:rsidR="001677DE">
        <w:t>oedèmes</w:t>
      </w:r>
      <w:proofErr w:type="spellEnd"/>
      <w:r w:rsidR="001677DE">
        <w:t xml:space="preserve">  de surcharge (yeux, fesses, testicules, pieds), râles pulmonaires, hépatomégalie.</w:t>
      </w:r>
    </w:p>
    <w:p w14:paraId="0AC42C44" w14:textId="77777777" w:rsidR="00A6220D" w:rsidRPr="00386160" w:rsidRDefault="00A6220D" w:rsidP="00A6220D">
      <w:pPr>
        <w:pStyle w:val="ListParagraph"/>
        <w:numPr>
          <w:ilvl w:val="1"/>
          <w:numId w:val="4"/>
        </w:numPr>
      </w:pPr>
      <w:r w:rsidRPr="00386160">
        <w:rPr>
          <w:b/>
        </w:rPr>
        <w:t>Poids</w:t>
      </w:r>
      <w:r w:rsidRPr="00386160">
        <w:t xml:space="preserve"> </w:t>
      </w:r>
      <w:r w:rsidRPr="00534248">
        <w:rPr>
          <w:b/>
        </w:rPr>
        <w:t>2x/</w:t>
      </w:r>
      <w:r>
        <w:rPr>
          <w:b/>
        </w:rPr>
        <w:t>j</w:t>
      </w:r>
      <w:r w:rsidRPr="00386160">
        <w:t xml:space="preserve"> </w:t>
      </w:r>
      <w:r w:rsidRPr="00386160">
        <w:sym w:font="Wingdings" w:char="F0E0"/>
      </w:r>
      <w:r w:rsidRPr="00386160">
        <w:t xml:space="preserve"> pour un adulte on désire ne pas dépasser 1kg/semaine, pour enfant: on ne sait pas…</w:t>
      </w:r>
    </w:p>
    <w:p w14:paraId="22E2EEF1" w14:textId="17AEEB21" w:rsidR="00A6220D" w:rsidRPr="001677DE" w:rsidRDefault="00A6220D" w:rsidP="00A6220D">
      <w:pPr>
        <w:pStyle w:val="ListParagraph"/>
        <w:numPr>
          <w:ilvl w:val="1"/>
          <w:numId w:val="4"/>
        </w:numPr>
        <w:rPr>
          <w:b/>
        </w:rPr>
      </w:pPr>
      <w:proofErr w:type="spellStart"/>
      <w:r w:rsidRPr="00386160">
        <w:rPr>
          <w:b/>
        </w:rPr>
        <w:t>Status</w:t>
      </w:r>
      <w:proofErr w:type="spellEnd"/>
      <w:r w:rsidRPr="00386160">
        <w:rPr>
          <w:b/>
        </w:rPr>
        <w:t xml:space="preserve"> clinique</w:t>
      </w:r>
      <w:r w:rsidRPr="00386160">
        <w:t xml:space="preserve"> quotidien,  en particu</w:t>
      </w:r>
      <w:r w:rsidR="001677DE">
        <w:t xml:space="preserve">lier cardiaque, neurologique, </w:t>
      </w:r>
      <w:proofErr w:type="spellStart"/>
      <w:r w:rsidRPr="00386160">
        <w:t>gastointestinal</w:t>
      </w:r>
      <w:proofErr w:type="spellEnd"/>
      <w:r w:rsidR="001677DE">
        <w:t xml:space="preserve"> </w:t>
      </w:r>
      <w:r w:rsidR="001677DE" w:rsidRPr="001677DE">
        <w:rPr>
          <w:b/>
        </w:rPr>
        <w:t xml:space="preserve">et </w:t>
      </w:r>
      <w:r w:rsidR="00A82F41" w:rsidRPr="00A82F41">
        <w:rPr>
          <w:b/>
          <w:color w:val="FF0000"/>
        </w:rPr>
        <w:t xml:space="preserve">risque </w:t>
      </w:r>
      <w:r w:rsidR="001677DE" w:rsidRPr="00A82F41">
        <w:rPr>
          <w:b/>
          <w:color w:val="FF0000"/>
        </w:rPr>
        <w:t>infectieux</w:t>
      </w:r>
    </w:p>
    <w:p w14:paraId="76F55CE7" w14:textId="3989C308" w:rsidR="00A6220D" w:rsidRPr="00386160" w:rsidRDefault="00A6220D" w:rsidP="00A6220D">
      <w:pPr>
        <w:pStyle w:val="ListParagraph"/>
        <w:numPr>
          <w:ilvl w:val="1"/>
          <w:numId w:val="4"/>
        </w:numPr>
      </w:pPr>
      <w:r w:rsidRPr="00386160">
        <w:rPr>
          <w:b/>
        </w:rPr>
        <w:t>Labo quotidien </w:t>
      </w:r>
      <w:r w:rsidR="00FA04FB">
        <w:rPr>
          <w:b/>
        </w:rPr>
        <w:t>les premiers</w:t>
      </w:r>
      <w:bookmarkStart w:id="0" w:name="_GoBack"/>
      <w:bookmarkEnd w:id="0"/>
      <w:r w:rsidR="00FA04FB">
        <w:rPr>
          <w:b/>
        </w:rPr>
        <w:t xml:space="preserve"> 3 jours</w:t>
      </w:r>
      <w:r w:rsidRPr="00386160">
        <w:t xml:space="preserve">: </w:t>
      </w:r>
    </w:p>
    <w:p w14:paraId="5C95697B" w14:textId="53523D7E" w:rsidR="000F130D" w:rsidRDefault="00A6220D" w:rsidP="000F130D">
      <w:pPr>
        <w:pStyle w:val="ListParagraph"/>
        <w:numPr>
          <w:ilvl w:val="2"/>
          <w:numId w:val="4"/>
        </w:numPr>
        <w:rPr>
          <w:i/>
        </w:rPr>
      </w:pPr>
      <w:r w:rsidRPr="00386160">
        <w:t>Na, K, Mg, Ph, glycémie, urée, créatinine</w:t>
      </w:r>
      <w:r>
        <w:t xml:space="preserve"> +/- ECG</w:t>
      </w:r>
      <w:r>
        <w:sym w:font="Wingdings" w:char="F0E0"/>
      </w:r>
      <w:r>
        <w:t xml:space="preserve"> </w:t>
      </w:r>
      <w:r w:rsidRPr="00293F7B">
        <w:rPr>
          <w:b/>
          <w:color w:val="FF0000"/>
        </w:rPr>
        <w:t>CAVE </w:t>
      </w:r>
      <w:r>
        <w:t xml:space="preserve">: </w:t>
      </w:r>
      <w:r w:rsidRPr="001C53D9">
        <w:t xml:space="preserve">Le support nutritionnel ne doit alors plus être augmenté voire même </w:t>
      </w:r>
      <w:r w:rsidRPr="00293F7B">
        <w:rPr>
          <w:b/>
          <w:color w:val="FF0000"/>
        </w:rPr>
        <w:t xml:space="preserve">stoppé lorsque la </w:t>
      </w:r>
      <w:proofErr w:type="spellStart"/>
      <w:r>
        <w:rPr>
          <w:b/>
          <w:color w:val="FF0000"/>
        </w:rPr>
        <w:t>p</w:t>
      </w:r>
      <w:r w:rsidRPr="00293F7B">
        <w:rPr>
          <w:b/>
          <w:color w:val="FF0000"/>
        </w:rPr>
        <w:t>ho</w:t>
      </w:r>
      <w:r w:rsidR="00AC3626">
        <w:rPr>
          <w:b/>
          <w:color w:val="FF0000"/>
        </w:rPr>
        <w:t>s</w:t>
      </w:r>
      <w:r w:rsidRPr="00293F7B">
        <w:rPr>
          <w:b/>
          <w:color w:val="FF0000"/>
        </w:rPr>
        <w:t>phatémie</w:t>
      </w:r>
      <w:proofErr w:type="spellEnd"/>
      <w:r w:rsidRPr="00293F7B">
        <w:rPr>
          <w:b/>
          <w:color w:val="FF0000"/>
        </w:rPr>
        <w:t xml:space="preserve"> </w:t>
      </w:r>
      <w:r>
        <w:rPr>
          <w:b/>
          <w:color w:val="FF0000"/>
        </w:rPr>
        <w:t xml:space="preserve">est </w:t>
      </w:r>
      <w:r w:rsidRPr="00293F7B">
        <w:rPr>
          <w:b/>
          <w:color w:val="FF0000"/>
        </w:rPr>
        <w:t xml:space="preserve">&lt; 0,60 </w:t>
      </w:r>
      <w:proofErr w:type="spellStart"/>
      <w:r w:rsidRPr="00293F7B">
        <w:rPr>
          <w:b/>
          <w:color w:val="FF0000"/>
        </w:rPr>
        <w:t>mmol</w:t>
      </w:r>
      <w:proofErr w:type="spellEnd"/>
      <w:r w:rsidRPr="00293F7B">
        <w:rPr>
          <w:b/>
          <w:color w:val="FF0000"/>
        </w:rPr>
        <w:t xml:space="preserve">/L </w:t>
      </w:r>
      <w:r w:rsidRPr="001C53D9">
        <w:t>ce, jusqu’à sa correction</w:t>
      </w:r>
      <w:r w:rsidRPr="00BA5306">
        <w:rPr>
          <w:i/>
        </w:rPr>
        <w:t xml:space="preserve"> (Nutrition clinique et métabolisme 25 (2011) 86–90)</w:t>
      </w:r>
    </w:p>
    <w:p w14:paraId="467A9605" w14:textId="425D5E4F" w:rsidR="000F130D" w:rsidRPr="000F130D" w:rsidRDefault="00A6220D" w:rsidP="000F130D">
      <w:pPr>
        <w:pStyle w:val="ListParagraph"/>
        <w:numPr>
          <w:ilvl w:val="2"/>
          <w:numId w:val="4"/>
        </w:numPr>
        <w:rPr>
          <w:i/>
        </w:rPr>
      </w:pPr>
      <w:r w:rsidRPr="00386160">
        <w:t>Si alimentation parentérale </w:t>
      </w:r>
      <w:r w:rsidR="003857CE">
        <w:t xml:space="preserve">ou </w:t>
      </w:r>
      <w:r w:rsidR="003857CE" w:rsidRPr="003857CE">
        <w:rPr>
          <w:color w:val="FF0000"/>
        </w:rPr>
        <w:sym w:font="Wingdings" w:char="F0E0"/>
      </w:r>
      <w:r w:rsidR="003857CE" w:rsidRPr="000F130D">
        <w:rPr>
          <w:color w:val="FF0000"/>
        </w:rPr>
        <w:t xml:space="preserve"> poids &lt; 75% du poids idéal</w:t>
      </w:r>
      <w:r w:rsidR="00A228F7" w:rsidRPr="00386160">
        <w:t xml:space="preserve"> </w:t>
      </w:r>
      <w:r w:rsidRPr="00386160">
        <w:sym w:font="Wingdings" w:char="F0E0"/>
      </w:r>
      <w:r w:rsidRPr="00386160">
        <w:t xml:space="preserve"> bilan </w:t>
      </w:r>
      <w:r w:rsidR="00A228F7">
        <w:t xml:space="preserve">insuffisance hépatique aigüe </w:t>
      </w:r>
      <w:r w:rsidRPr="00386160">
        <w:t>hépatique 1x/semaine : transaminases, protéine/albumine, coagulation +/- bilan lipidique, zinc</w:t>
      </w:r>
      <w:r w:rsidR="00AC3626">
        <w:t>, cuivre, …</w:t>
      </w:r>
    </w:p>
    <w:p w14:paraId="721952CE" w14:textId="53A35C6A" w:rsidR="000F130D" w:rsidRPr="000F130D" w:rsidRDefault="000F130D" w:rsidP="000F130D">
      <w:pPr>
        <w:pStyle w:val="ListParagraph"/>
        <w:numPr>
          <w:ilvl w:val="2"/>
          <w:numId w:val="4"/>
        </w:numPr>
      </w:pPr>
      <w:r w:rsidRPr="000F130D">
        <w:t xml:space="preserve">Une </w:t>
      </w:r>
      <w:r w:rsidRPr="00AC3626">
        <w:rPr>
          <w:b/>
          <w:color w:val="FF0000"/>
        </w:rPr>
        <w:t>thrombopénie</w:t>
      </w:r>
      <w:r w:rsidRPr="000F130D">
        <w:t xml:space="preserve"> est présente chez 5 % des anorexiques </w:t>
      </w:r>
      <w:r>
        <w:t>ambulatoires [</w:t>
      </w:r>
      <w:r w:rsidRPr="000F130D">
        <w:t xml:space="preserve">et </w:t>
      </w:r>
      <w:r w:rsidRPr="000F130D">
        <w:rPr>
          <w:b/>
        </w:rPr>
        <w:t>chez 60 % des anorexiques ayant une insuffisance hépatique aiguë</w:t>
      </w:r>
      <w:r>
        <w:t>.</w:t>
      </w:r>
    </w:p>
    <w:p w14:paraId="1264E628" w14:textId="77777777" w:rsidR="00832C42" w:rsidRPr="00386160" w:rsidRDefault="00832C42" w:rsidP="00A2690C">
      <w:pPr>
        <w:pStyle w:val="ListParagraph"/>
        <w:ind w:left="2160"/>
      </w:pPr>
    </w:p>
    <w:p w14:paraId="2EA303E6" w14:textId="7022EACD" w:rsidR="00AC3626" w:rsidRDefault="00AC3626" w:rsidP="001677DE">
      <w:pPr>
        <w:rPr>
          <w:lang w:val="en-GB"/>
        </w:rPr>
      </w:pPr>
    </w:p>
    <w:sectPr w:rsidR="00AC3626" w:rsidSect="00C748D6">
      <w:pgSz w:w="11900" w:h="16840"/>
      <w:pgMar w:top="426" w:right="843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D7FC3"/>
    <w:multiLevelType w:val="hybridMultilevel"/>
    <w:tmpl w:val="69F687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DC702E0"/>
    <w:multiLevelType w:val="hybridMultilevel"/>
    <w:tmpl w:val="E994838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4BF826CB"/>
    <w:multiLevelType w:val="hybridMultilevel"/>
    <w:tmpl w:val="E2EE5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12A84"/>
    <w:multiLevelType w:val="hybridMultilevel"/>
    <w:tmpl w:val="72300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5014E0"/>
    <w:multiLevelType w:val="hybridMultilevel"/>
    <w:tmpl w:val="37983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7C2069"/>
    <w:multiLevelType w:val="hybridMultilevel"/>
    <w:tmpl w:val="47E44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33"/>
    <w:rsid w:val="00022DB6"/>
    <w:rsid w:val="0003672B"/>
    <w:rsid w:val="00057B8F"/>
    <w:rsid w:val="00077FF0"/>
    <w:rsid w:val="00092027"/>
    <w:rsid w:val="000933E3"/>
    <w:rsid w:val="000A504D"/>
    <w:rsid w:val="000C2B91"/>
    <w:rsid w:val="000C5978"/>
    <w:rsid w:val="000F130D"/>
    <w:rsid w:val="00115039"/>
    <w:rsid w:val="0013263C"/>
    <w:rsid w:val="001677DE"/>
    <w:rsid w:val="00176C7F"/>
    <w:rsid w:val="0018505F"/>
    <w:rsid w:val="001C53D9"/>
    <w:rsid w:val="002503F9"/>
    <w:rsid w:val="00270333"/>
    <w:rsid w:val="00293F7B"/>
    <w:rsid w:val="002B465F"/>
    <w:rsid w:val="002D30F3"/>
    <w:rsid w:val="003001DF"/>
    <w:rsid w:val="003228FF"/>
    <w:rsid w:val="00375A1B"/>
    <w:rsid w:val="003857CE"/>
    <w:rsid w:val="00386160"/>
    <w:rsid w:val="0039668F"/>
    <w:rsid w:val="003D54D6"/>
    <w:rsid w:val="00422F7D"/>
    <w:rsid w:val="00424238"/>
    <w:rsid w:val="00437EDE"/>
    <w:rsid w:val="004B541B"/>
    <w:rsid w:val="004F4867"/>
    <w:rsid w:val="00507981"/>
    <w:rsid w:val="00530EB7"/>
    <w:rsid w:val="00534248"/>
    <w:rsid w:val="005A5AAB"/>
    <w:rsid w:val="005F1606"/>
    <w:rsid w:val="006151B7"/>
    <w:rsid w:val="006C31C3"/>
    <w:rsid w:val="006E4D6A"/>
    <w:rsid w:val="007A1D77"/>
    <w:rsid w:val="007B791A"/>
    <w:rsid w:val="00815640"/>
    <w:rsid w:val="00831702"/>
    <w:rsid w:val="00832C42"/>
    <w:rsid w:val="00845946"/>
    <w:rsid w:val="00854B91"/>
    <w:rsid w:val="008D2AFC"/>
    <w:rsid w:val="008D3839"/>
    <w:rsid w:val="0090346A"/>
    <w:rsid w:val="00907130"/>
    <w:rsid w:val="00951BE2"/>
    <w:rsid w:val="009A24B3"/>
    <w:rsid w:val="009F0031"/>
    <w:rsid w:val="00A228F7"/>
    <w:rsid w:val="00A25568"/>
    <w:rsid w:val="00A2690C"/>
    <w:rsid w:val="00A6220D"/>
    <w:rsid w:val="00A82F41"/>
    <w:rsid w:val="00AC3626"/>
    <w:rsid w:val="00B85915"/>
    <w:rsid w:val="00B95DAC"/>
    <w:rsid w:val="00B97503"/>
    <w:rsid w:val="00BA5306"/>
    <w:rsid w:val="00C74042"/>
    <w:rsid w:val="00C748D6"/>
    <w:rsid w:val="00C80638"/>
    <w:rsid w:val="00CC1744"/>
    <w:rsid w:val="00CD390A"/>
    <w:rsid w:val="00D0377E"/>
    <w:rsid w:val="00D04A4A"/>
    <w:rsid w:val="00D40857"/>
    <w:rsid w:val="00D920A0"/>
    <w:rsid w:val="00DD68A7"/>
    <w:rsid w:val="00DE1D65"/>
    <w:rsid w:val="00DE5D07"/>
    <w:rsid w:val="00E341F7"/>
    <w:rsid w:val="00E44ACB"/>
    <w:rsid w:val="00E722D6"/>
    <w:rsid w:val="00E958CD"/>
    <w:rsid w:val="00EA41E7"/>
    <w:rsid w:val="00EB3636"/>
    <w:rsid w:val="00EE468B"/>
    <w:rsid w:val="00F93263"/>
    <w:rsid w:val="00F95E6D"/>
    <w:rsid w:val="00FA04FB"/>
    <w:rsid w:val="00FB573D"/>
    <w:rsid w:val="00FC2D1C"/>
    <w:rsid w:val="00FD0199"/>
    <w:rsid w:val="00FF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BCB8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3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79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91A"/>
    <w:rPr>
      <w:rFonts w:ascii="Lucida Grande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3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79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91A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982</Words>
  <Characters>5600</Characters>
  <Application>Microsoft Macintosh Word</Application>
  <DocSecurity>0</DocSecurity>
  <Lines>46</Lines>
  <Paragraphs>13</Paragraphs>
  <ScaleCrop>false</ScaleCrop>
  <Company>-</Company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 mz</dc:creator>
  <cp:keywords/>
  <dc:description/>
  <cp:lastModifiedBy>mz mz</cp:lastModifiedBy>
  <cp:revision>79</cp:revision>
  <dcterms:created xsi:type="dcterms:W3CDTF">2017-01-13T16:44:00Z</dcterms:created>
  <dcterms:modified xsi:type="dcterms:W3CDTF">2017-01-13T20:57:00Z</dcterms:modified>
</cp:coreProperties>
</file>