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B" w:rsidRPr="00DC622B" w:rsidRDefault="00DC622B" w:rsidP="00DC622B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es antibiotiques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N.Wagner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OMA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70% OMA avec co-infection virale-bactérienne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Pneumocoque en suisse sensible dans 97%, intermédiaire dans 2,5%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H.influenza résistant aux pénicillines dans 20% des cas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50% guérison globale OMA sans antibiotique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7 patient a traitement pour éviter otalgie à 7 jours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Antibiotique dans OMA ne prévient pas les complications sévères!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Traitement à plus haute dose par 80 maintenant/kg/j si FR: crèche, amoxicilline récent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Durée 5-7 j dès 6 ans, 7 j pour 2-5 ans et 10 jours en dessous de 2 ans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GEA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PCT&gt;CRP pour prouver cause bactérienne mais évidences faibles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Traitement antibiotique toujours si Shigella et Vibrio choléra +\- ETECet EPEC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A priori on ne traite pas les EHEC car augmentation du risque de SHU car sur exprime la toxine —&gt; ne traiter que les cas très grave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C.DIFFICILE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C.difficile rare en maladie avant 24 mois mais portage fréquent —&gt; traitement que si symptôme associés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Test PCR&gt;EIA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Dépistage utile dès 3 ans, avant préférer coproculture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Inutile de contrôler la persistance de la toxine après traitement car excrétion persiste plusieurs semaines et portage à symptomatique existe toujours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Ne pas traiter trop longtemps ou de façon répétée avec le métronidazole car NEUROTOXIQUE!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ÉRUPTION SOUS AB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Différencier entre réaction immédiate (&lt;1h) et non immédiate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Possibilité de poursuivre antibiotique sous surveillance au cabinet si réaction non immédiate et peu sévère ( —&gt; pas si DRESS, SJS)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Sensibilisation croisée pénurie/ céphalo plus fréquente avec chaîne latérale -R1 ex: éviter passage de amoxicilline à cefprozil (Procef)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2% allergies croisées péniblement/cephalo MAIS 25% entre céphalo/pénurie!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Allergie pour OMA/pneumonie—&gt; clarithromycine/clindamycine et cotrimoxazole pour infection urinaire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BLSE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10% des souches aux HUG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Traitement référence = carbapenem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MRSA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Gradient Sud/Nord 50%/&lt;1%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CH chez &lt; 15 ans: 6,5%=&gt; Pas négligeable !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Décontamination APRÈS guérison des abcès et lésion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Lifo-Scrub savon 1x/j + Bactroban IN pendant 10 jours et attention à la literie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QUINOLONES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Levofloxacine = nouvelle génération avec effet sur certains Gram positif donc utilisable en cas de résistance ou allergie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Norfloxacine pénètre mal dans tissus—&gt; réservé aux IU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Ciprofloxacine avec bonne pénétration tissulaire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Atteinte articulaire ?—&gt; surtout arthralgie/arthrite et plus importante ad 12 mois post ttt mais PAS de différence à 5 ans =&gt; pas d’atteinte articulaire au final. EI: Goût amer, nausée/vomissements et QTL, développement rapide de résistance.</w:t>
      </w:r>
      <w:r w:rsidRPr="00DC622B">
        <w:rPr>
          <w:rFonts w:ascii="Arial" w:eastAsia="Times New Roman" w:hAnsi="Arial" w:cs="Times New Roman"/>
          <w:color w:val="222222"/>
          <w:sz w:val="19"/>
          <w:szCs w:val="19"/>
          <w:lang w:val="fr-FR"/>
        </w:rPr>
        <w:br/>
      </w:r>
      <w:r w:rsidRPr="00DC622B">
        <w:rPr>
          <w:rFonts w:ascii="Arial" w:eastAsia="Times New Roman" w:hAnsi="Arial" w:cs="Times New Roman"/>
          <w:color w:val="222222"/>
          <w:sz w:val="19"/>
          <w:szCs w:val="19"/>
          <w:shd w:val="clear" w:color="auto" w:fill="FFFFFF"/>
          <w:lang w:val="fr-FR"/>
        </w:rPr>
        <w:t>Résistance 12% chez adulte et 20% chez adultes.</w:t>
      </w:r>
    </w:p>
    <w:p w:rsidR="0018505F" w:rsidRDefault="0018505F">
      <w:bookmarkStart w:id="0" w:name="_GoBack"/>
      <w:bookmarkEnd w:id="0"/>
    </w:p>
    <w:sectPr w:rsidR="0018505F" w:rsidSect="00CC1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B"/>
    <w:rsid w:val="0018505F"/>
    <w:rsid w:val="00CC1744"/>
    <w:rsid w:val="00D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B21F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Macintosh Word</Application>
  <DocSecurity>0</DocSecurity>
  <Lines>18</Lines>
  <Paragraphs>5</Paragraphs>
  <ScaleCrop>false</ScaleCrop>
  <Company>-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</cp:revision>
  <dcterms:created xsi:type="dcterms:W3CDTF">2018-03-03T15:40:00Z</dcterms:created>
  <dcterms:modified xsi:type="dcterms:W3CDTF">2018-03-03T15:40:00Z</dcterms:modified>
</cp:coreProperties>
</file>