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724" w:rsidRDefault="00CC3E3B" w:rsidP="00F720FC">
      <w:pPr>
        <w:jc w:val="center"/>
        <w:rPr>
          <w:b/>
          <w:u w:val="single"/>
        </w:rPr>
      </w:pPr>
      <w:r>
        <w:rPr>
          <w:b/>
          <w:u w:val="single"/>
        </w:rPr>
        <w:t>Vomissements cycliques</w:t>
      </w:r>
    </w:p>
    <w:p w:rsidR="00CC3E3B" w:rsidRPr="00062724" w:rsidRDefault="00062724" w:rsidP="00F720FC">
      <w:pPr>
        <w:jc w:val="center"/>
        <w:rPr>
          <w:b/>
          <w:u w:val="single"/>
        </w:rPr>
      </w:pPr>
      <w:proofErr w:type="spellStart"/>
      <w:r>
        <w:t>UptoDate</w:t>
      </w:r>
      <w:proofErr w:type="spellEnd"/>
      <w:r>
        <w:t xml:space="preserve"> 2012</w:t>
      </w:r>
    </w:p>
    <w:p w:rsidR="00CC3E3B" w:rsidRDefault="00CC3E3B" w:rsidP="00F720FC"/>
    <w:p w:rsidR="00062724" w:rsidRDefault="00062724" w:rsidP="00F720FC">
      <w:pPr>
        <w:pStyle w:val="Paragraphedeliste"/>
        <w:numPr>
          <w:ilvl w:val="0"/>
          <w:numId w:val="6"/>
        </w:numPr>
        <w:ind w:left="567"/>
      </w:pPr>
      <w:r>
        <w:t>Mécanisme inconnu possiblement proche de la migraine et migraine abdominale (80% d’AF positive pour la migraine)</w:t>
      </w:r>
    </w:p>
    <w:p w:rsidR="00062724" w:rsidRDefault="00062724" w:rsidP="00F720FC">
      <w:pPr>
        <w:pStyle w:val="Paragraphedeliste"/>
        <w:numPr>
          <w:ilvl w:val="0"/>
          <w:numId w:val="6"/>
        </w:numPr>
        <w:ind w:left="567"/>
      </w:pPr>
      <w:r w:rsidRPr="00062724">
        <w:t>Touche 1.5 % des enfants</w:t>
      </w:r>
      <w:r>
        <w:t xml:space="preserve"> en âge scolaire=&gt; pas si rare !</w:t>
      </w:r>
    </w:p>
    <w:p w:rsidR="00062724" w:rsidRDefault="00062724" w:rsidP="00F720FC">
      <w:pPr>
        <w:pStyle w:val="Paragraphedeliste"/>
        <w:numPr>
          <w:ilvl w:val="0"/>
          <w:numId w:val="6"/>
        </w:numPr>
        <w:ind w:left="567"/>
      </w:pPr>
      <w:r>
        <w:t>Pic de début vers 4-5 ans (pose du diagnostic vers 9-10 ans)</w:t>
      </w:r>
    </w:p>
    <w:p w:rsidR="00062724" w:rsidRPr="00062724" w:rsidRDefault="00062724" w:rsidP="00F720FC">
      <w:pPr>
        <w:pStyle w:val="Paragraphedeliste"/>
        <w:numPr>
          <w:ilvl w:val="0"/>
          <w:numId w:val="6"/>
        </w:numPr>
        <w:ind w:left="567"/>
      </w:pPr>
      <w:r>
        <w:t>Moyenne chez l’enfant de 12 crises/an contre 4 chez l’adulte</w:t>
      </w:r>
    </w:p>
    <w:p w:rsidR="003F4D07" w:rsidRDefault="003F4D07" w:rsidP="00F720FC">
      <w:pPr>
        <w:rPr>
          <w:b/>
          <w:u w:val="single"/>
        </w:rPr>
      </w:pPr>
    </w:p>
    <w:p w:rsidR="00CC3E3B" w:rsidRPr="00CC3E3B" w:rsidRDefault="001218F0" w:rsidP="00F720FC">
      <w:pPr>
        <w:rPr>
          <w:b/>
          <w:u w:val="single"/>
        </w:rPr>
      </w:pPr>
      <w:r>
        <w:rPr>
          <w:b/>
          <w:u w:val="single"/>
        </w:rPr>
        <w:t>Symptômes</w:t>
      </w:r>
    </w:p>
    <w:p w:rsidR="001218F0" w:rsidRDefault="00C42B29" w:rsidP="00F720FC">
      <w:pPr>
        <w:numPr>
          <w:ilvl w:val="0"/>
          <w:numId w:val="3"/>
        </w:numPr>
        <w:ind w:left="567"/>
      </w:pPr>
      <w:r>
        <w:t>Vomissements</w:t>
      </w:r>
      <w:r w:rsidR="001218F0">
        <w:t xml:space="preserve"> d'aspect </w:t>
      </w:r>
      <w:proofErr w:type="gramStart"/>
      <w:r w:rsidR="001218F0" w:rsidRPr="001218F0">
        <w:rPr>
          <w:b/>
        </w:rPr>
        <w:t>stéréotypée</w:t>
      </w:r>
      <w:proofErr w:type="gramEnd"/>
      <w:r w:rsidR="001218F0">
        <w:t xml:space="preserve"> qui se répètent toujours de la même façon (85% des cas) :</w:t>
      </w:r>
    </w:p>
    <w:p w:rsidR="00C42B29" w:rsidRDefault="001218F0" w:rsidP="00F720FC">
      <w:pPr>
        <w:numPr>
          <w:ilvl w:val="1"/>
          <w:numId w:val="3"/>
        </w:numPr>
      </w:pPr>
      <w:r>
        <w:t>Vomissements s</w:t>
      </w:r>
      <w:r w:rsidR="00C42B29">
        <w:t>oudain et violents</w:t>
      </w:r>
    </w:p>
    <w:p w:rsidR="001218F0" w:rsidRDefault="001218F0" w:rsidP="00F720FC">
      <w:pPr>
        <w:numPr>
          <w:ilvl w:val="1"/>
          <w:numId w:val="3"/>
        </w:numPr>
      </w:pPr>
      <w:r>
        <w:t>Au petit matin =&gt; entre 2h00-7h00 du matin (60% des cas)</w:t>
      </w:r>
    </w:p>
    <w:p w:rsidR="001218F0" w:rsidRDefault="001218F0" w:rsidP="00F720FC">
      <w:pPr>
        <w:numPr>
          <w:ilvl w:val="1"/>
          <w:numId w:val="3"/>
        </w:numPr>
      </w:pPr>
      <w:r>
        <w:t>Trigger identifié par les parents dans 66% des cas</w:t>
      </w:r>
    </w:p>
    <w:p w:rsidR="001218F0" w:rsidRDefault="001218F0" w:rsidP="00F720FC">
      <w:pPr>
        <w:numPr>
          <w:ilvl w:val="2"/>
          <w:numId w:val="3"/>
        </w:numPr>
      </w:pPr>
      <w:r>
        <w:t>Trigger émotionnel (77% des cas)</w:t>
      </w:r>
    </w:p>
    <w:p w:rsidR="001218F0" w:rsidRDefault="001218F0" w:rsidP="00F720FC">
      <w:pPr>
        <w:numPr>
          <w:ilvl w:val="2"/>
          <w:numId w:val="3"/>
        </w:numPr>
      </w:pPr>
      <w:r>
        <w:t>Infection des voies respiratoires supérieures</w:t>
      </w:r>
    </w:p>
    <w:p w:rsidR="001218F0" w:rsidRDefault="001218F0" w:rsidP="00F720FC">
      <w:pPr>
        <w:numPr>
          <w:ilvl w:val="2"/>
          <w:numId w:val="3"/>
        </w:numPr>
      </w:pPr>
      <w:r>
        <w:t>Stress (</w:t>
      </w:r>
      <w:proofErr w:type="spellStart"/>
      <w:r>
        <w:t>chir</w:t>
      </w:r>
      <w:proofErr w:type="spellEnd"/>
      <w:r>
        <w:t>. etc.)</w:t>
      </w:r>
    </w:p>
    <w:p w:rsidR="00C42B29" w:rsidRDefault="00C42B29" w:rsidP="00F720FC">
      <w:pPr>
        <w:numPr>
          <w:ilvl w:val="1"/>
          <w:numId w:val="3"/>
        </w:numPr>
      </w:pPr>
      <w:r>
        <w:t>Durée moyenne de 24-48h</w:t>
      </w:r>
      <w:r w:rsidR="001218F0">
        <w:t xml:space="preserve"> chez l’enfant (contre 4-6 jours chez l’adulte)</w:t>
      </w:r>
    </w:p>
    <w:p w:rsidR="00C42B29" w:rsidRDefault="00C42B29" w:rsidP="00F720FC">
      <w:pPr>
        <w:numPr>
          <w:ilvl w:val="1"/>
          <w:numId w:val="3"/>
        </w:numPr>
      </w:pPr>
      <w:r>
        <w:t>Récurrence</w:t>
      </w:r>
      <w:r w:rsidR="001218F0">
        <w:t xml:space="preserve"> régulière dans 50% des cas,</w:t>
      </w:r>
      <w:r>
        <w:t xml:space="preserve"> en moyenne toutes les 2-4 semaines</w:t>
      </w:r>
      <w:r w:rsidR="001218F0">
        <w:t>. Pour les autres c’est imprévisible.</w:t>
      </w:r>
    </w:p>
    <w:p w:rsidR="00C42B29" w:rsidRPr="001218F0" w:rsidRDefault="001218F0" w:rsidP="00F720FC">
      <w:pPr>
        <w:numPr>
          <w:ilvl w:val="1"/>
          <w:numId w:val="3"/>
        </w:numPr>
        <w:rPr>
          <w:b/>
        </w:rPr>
      </w:pPr>
      <w:r w:rsidRPr="001218F0">
        <w:rPr>
          <w:b/>
        </w:rPr>
        <w:t>P</w:t>
      </w:r>
      <w:r w:rsidR="00C42B29" w:rsidRPr="001218F0">
        <w:rPr>
          <w:b/>
        </w:rPr>
        <w:t>atient asymptomatique</w:t>
      </w:r>
      <w:r w:rsidRPr="001218F0">
        <w:rPr>
          <w:b/>
        </w:rPr>
        <w:t xml:space="preserve"> entre les crises</w:t>
      </w:r>
      <w:r w:rsidR="00C42B29" w:rsidRPr="001218F0">
        <w:rPr>
          <w:b/>
        </w:rPr>
        <w:t xml:space="preserve"> (100%)</w:t>
      </w:r>
    </w:p>
    <w:p w:rsidR="00C42B29" w:rsidRDefault="00C42B29" w:rsidP="00F720FC">
      <w:pPr>
        <w:ind w:left="1800"/>
      </w:pPr>
    </w:p>
    <w:p w:rsidR="00C42B29" w:rsidRDefault="00C42B29" w:rsidP="00F720FC">
      <w:pPr>
        <w:numPr>
          <w:ilvl w:val="0"/>
          <w:numId w:val="3"/>
        </w:numPr>
        <w:ind w:left="567"/>
      </w:pPr>
      <w:r>
        <w:t>Symptômes associés :</w:t>
      </w:r>
      <w:r>
        <w:tab/>
      </w:r>
    </w:p>
    <w:p w:rsidR="001218F0" w:rsidRDefault="001218F0" w:rsidP="00F720FC">
      <w:pPr>
        <w:numPr>
          <w:ilvl w:val="1"/>
          <w:numId w:val="3"/>
        </w:numPr>
      </w:pPr>
      <w:r>
        <w:t>30% ont des prodromes (nausées, douleur épigastrique)</w:t>
      </w:r>
    </w:p>
    <w:p w:rsidR="00C42B29" w:rsidRDefault="00C42B29" w:rsidP="00F720FC">
      <w:pPr>
        <w:numPr>
          <w:ilvl w:val="1"/>
          <w:numId w:val="3"/>
        </w:numPr>
      </w:pPr>
      <w:r>
        <w:t>Migraines</w:t>
      </w:r>
    </w:p>
    <w:p w:rsidR="00C42B29" w:rsidRDefault="00C42B29" w:rsidP="00F720FC">
      <w:pPr>
        <w:numPr>
          <w:ilvl w:val="1"/>
          <w:numId w:val="3"/>
        </w:numPr>
      </w:pPr>
      <w:r>
        <w:t>Photophobie</w:t>
      </w:r>
    </w:p>
    <w:p w:rsidR="00C42B29" w:rsidRDefault="00C42B29" w:rsidP="00F720FC">
      <w:pPr>
        <w:numPr>
          <w:ilvl w:val="1"/>
          <w:numId w:val="3"/>
        </w:numPr>
      </w:pPr>
      <w:r>
        <w:t>Maux de ventre, diarrhées (</w:t>
      </w:r>
      <w:proofErr w:type="spellStart"/>
      <w:r>
        <w:t>dysautonomie</w:t>
      </w:r>
      <w:proofErr w:type="spellEnd"/>
      <w:r>
        <w:t> ?)</w:t>
      </w:r>
    </w:p>
    <w:p w:rsidR="00C42B29" w:rsidRDefault="00C42B29" w:rsidP="00F720FC">
      <w:pPr>
        <w:numPr>
          <w:ilvl w:val="1"/>
          <w:numId w:val="3"/>
        </w:numPr>
      </w:pPr>
      <w:r>
        <w:t>Excès de salivation (</w:t>
      </w:r>
      <w:proofErr w:type="spellStart"/>
      <w:r>
        <w:t>dysautonomie</w:t>
      </w:r>
      <w:proofErr w:type="spellEnd"/>
      <w:r>
        <w:t> ?)</w:t>
      </w:r>
    </w:p>
    <w:p w:rsidR="00C42B29" w:rsidRDefault="00C42B29" w:rsidP="00F720FC">
      <w:pPr>
        <w:numPr>
          <w:ilvl w:val="1"/>
          <w:numId w:val="3"/>
        </w:numPr>
      </w:pPr>
      <w:proofErr w:type="spellStart"/>
      <w:r>
        <w:t>Cinétose</w:t>
      </w:r>
      <w:proofErr w:type="spellEnd"/>
    </w:p>
    <w:p w:rsidR="00C42B29" w:rsidRDefault="00C42B29" w:rsidP="00F720FC">
      <w:pPr>
        <w:numPr>
          <w:ilvl w:val="1"/>
          <w:numId w:val="3"/>
        </w:numPr>
      </w:pPr>
      <w:r>
        <w:t>Pâleur</w:t>
      </w:r>
    </w:p>
    <w:p w:rsidR="00C42B29" w:rsidRDefault="00C42B29" w:rsidP="00F720FC">
      <w:pPr>
        <w:numPr>
          <w:ilvl w:val="1"/>
          <w:numId w:val="3"/>
        </w:numPr>
      </w:pPr>
      <w:r>
        <w:t>Anorexie</w:t>
      </w:r>
    </w:p>
    <w:p w:rsidR="00C42B29" w:rsidRDefault="00C42B29" w:rsidP="00F720FC">
      <w:pPr>
        <w:numPr>
          <w:ilvl w:val="1"/>
          <w:numId w:val="3"/>
        </w:numPr>
      </w:pPr>
      <w:r>
        <w:t>Léthargie</w:t>
      </w:r>
    </w:p>
    <w:p w:rsidR="00C42B29" w:rsidRDefault="00C42B29" w:rsidP="00F720FC">
      <w:pPr>
        <w:ind w:left="2160"/>
      </w:pPr>
    </w:p>
    <w:p w:rsidR="00C42B29" w:rsidRDefault="00C42B29" w:rsidP="00F720FC">
      <w:pPr>
        <w:numPr>
          <w:ilvl w:val="0"/>
          <w:numId w:val="3"/>
        </w:numPr>
        <w:ind w:left="567"/>
      </w:pPr>
      <w:r>
        <w:t xml:space="preserve">Pas de symptômes entre les épisodes en particulier pas de nausées </w:t>
      </w:r>
    </w:p>
    <w:p w:rsidR="00F720FC" w:rsidRDefault="00F720FC" w:rsidP="00F720FC">
      <w:pPr>
        <w:spacing w:line="336" w:lineRule="auto"/>
        <w:rPr>
          <w:rFonts w:cs="Arial"/>
          <w:b/>
          <w:szCs w:val="20"/>
          <w:u w:val="single"/>
        </w:rPr>
      </w:pPr>
    </w:p>
    <w:p w:rsidR="00F720FC" w:rsidRPr="00F720FC" w:rsidRDefault="00F720FC" w:rsidP="00F720FC">
      <w:pPr>
        <w:spacing w:line="336" w:lineRule="auto"/>
        <w:rPr>
          <w:rFonts w:cs="Arial"/>
          <w:b/>
          <w:szCs w:val="20"/>
          <w:u w:val="single"/>
        </w:rPr>
      </w:pPr>
      <w:r w:rsidRPr="00F720FC">
        <w:rPr>
          <w:rFonts w:cs="Arial"/>
          <w:b/>
          <w:szCs w:val="20"/>
          <w:u w:val="single"/>
        </w:rPr>
        <w:t>Critères NASPGHAN</w:t>
      </w:r>
    </w:p>
    <w:p w:rsidR="00F720FC" w:rsidRDefault="00F720FC" w:rsidP="00F720FC">
      <w:pPr>
        <w:pStyle w:val="Paragraphedeliste"/>
        <w:numPr>
          <w:ilvl w:val="0"/>
          <w:numId w:val="10"/>
        </w:numPr>
        <w:spacing w:line="336" w:lineRule="auto"/>
        <w:rPr>
          <w:rFonts w:eastAsia="Times New Roman" w:cs="Arial"/>
          <w:szCs w:val="20"/>
          <w:lang w:val="fr-CH" w:eastAsia="fr-CH"/>
        </w:rPr>
      </w:pPr>
      <w:r>
        <w:rPr>
          <w:rFonts w:eastAsia="Times New Roman" w:cs="Arial"/>
          <w:szCs w:val="20"/>
          <w:lang w:val="fr-CH" w:eastAsia="fr-CH"/>
        </w:rPr>
        <w:t>Vo</w:t>
      </w:r>
      <w:r w:rsidRPr="00F720FC">
        <w:rPr>
          <w:rFonts w:eastAsia="Times New Roman" w:cs="Arial"/>
          <w:szCs w:val="20"/>
          <w:lang w:val="fr-CH" w:eastAsia="fr-CH"/>
        </w:rPr>
        <w:t xml:space="preserve">missements d’aspect </w:t>
      </w:r>
      <w:proofErr w:type="spellStart"/>
      <w:r w:rsidRPr="00F720FC">
        <w:rPr>
          <w:rFonts w:eastAsia="Times New Roman" w:cs="Arial"/>
          <w:szCs w:val="20"/>
          <w:lang w:val="fr-CH" w:eastAsia="fr-CH"/>
        </w:rPr>
        <w:t>stérotypés</w:t>
      </w:r>
      <w:proofErr w:type="spellEnd"/>
      <w:r w:rsidRPr="00F720FC">
        <w:rPr>
          <w:rFonts w:eastAsia="Times New Roman" w:cs="Arial"/>
          <w:szCs w:val="20"/>
          <w:lang w:val="fr-CH" w:eastAsia="fr-CH"/>
        </w:rPr>
        <w:t xml:space="preserve"> </w:t>
      </w:r>
    </w:p>
    <w:p w:rsidR="00F720FC" w:rsidRPr="00F720FC" w:rsidRDefault="00F720FC" w:rsidP="00F720FC">
      <w:pPr>
        <w:pStyle w:val="Paragraphedeliste"/>
        <w:numPr>
          <w:ilvl w:val="0"/>
          <w:numId w:val="10"/>
        </w:numPr>
        <w:spacing w:line="336" w:lineRule="auto"/>
        <w:rPr>
          <w:rFonts w:eastAsia="Times New Roman" w:cs="Arial"/>
          <w:szCs w:val="20"/>
          <w:lang w:val="fr-CH" w:eastAsia="fr-CH"/>
        </w:rPr>
      </w:pPr>
      <w:r>
        <w:rPr>
          <w:rFonts w:cs="Arial"/>
        </w:rPr>
        <w:t xml:space="preserve">≥ </w:t>
      </w:r>
      <w:r>
        <w:t xml:space="preserve">5 épisodes au total ou </w:t>
      </w:r>
      <w:r>
        <w:rPr>
          <w:rFonts w:cs="Arial"/>
        </w:rPr>
        <w:t xml:space="preserve">≥ </w:t>
      </w:r>
      <w:r>
        <w:t>3 épisodes en 6 mois</w:t>
      </w:r>
    </w:p>
    <w:p w:rsidR="00F720FC" w:rsidRDefault="00F720FC" w:rsidP="00F720FC">
      <w:pPr>
        <w:pStyle w:val="Paragraphedeliste"/>
        <w:numPr>
          <w:ilvl w:val="0"/>
          <w:numId w:val="10"/>
        </w:numPr>
        <w:spacing w:line="336" w:lineRule="auto"/>
        <w:rPr>
          <w:rFonts w:eastAsia="Times New Roman" w:cs="Arial"/>
          <w:szCs w:val="20"/>
          <w:lang w:val="fr-CH" w:eastAsia="fr-CH"/>
        </w:rPr>
      </w:pPr>
      <w:r>
        <w:rPr>
          <w:rFonts w:eastAsia="Times New Roman" w:cs="Arial"/>
          <w:szCs w:val="20"/>
          <w:lang w:val="fr-CH" w:eastAsia="fr-CH"/>
        </w:rPr>
        <w:t>Nausées et vomissements intenses qui durent entre 1h et 10 jours</w:t>
      </w:r>
    </w:p>
    <w:p w:rsidR="00F720FC" w:rsidRDefault="00F720FC" w:rsidP="00F720FC">
      <w:pPr>
        <w:pStyle w:val="Paragraphedeliste"/>
        <w:numPr>
          <w:ilvl w:val="0"/>
          <w:numId w:val="10"/>
        </w:numPr>
        <w:spacing w:line="336" w:lineRule="auto"/>
        <w:rPr>
          <w:rFonts w:eastAsia="Times New Roman" w:cs="Arial"/>
          <w:szCs w:val="20"/>
          <w:lang w:val="fr-CH" w:eastAsia="fr-CH"/>
        </w:rPr>
      </w:pPr>
      <w:r>
        <w:rPr>
          <w:rFonts w:eastAsia="Times New Roman" w:cs="Arial"/>
          <w:szCs w:val="20"/>
          <w:lang w:val="fr-CH" w:eastAsia="fr-CH"/>
        </w:rPr>
        <w:t>Vomissements min. 4x/heure pendant au moins 1h</w:t>
      </w:r>
    </w:p>
    <w:p w:rsidR="00F720FC" w:rsidRPr="00F720FC" w:rsidRDefault="00F720FC" w:rsidP="00F720FC">
      <w:pPr>
        <w:pStyle w:val="Paragraphedeliste"/>
        <w:numPr>
          <w:ilvl w:val="0"/>
          <w:numId w:val="10"/>
        </w:numPr>
        <w:spacing w:line="336" w:lineRule="auto"/>
        <w:rPr>
          <w:rFonts w:eastAsia="Times New Roman" w:cs="Arial"/>
          <w:szCs w:val="20"/>
          <w:lang w:val="fr-CH" w:eastAsia="fr-CH"/>
        </w:rPr>
      </w:pPr>
      <w:r w:rsidRPr="00F720FC">
        <w:rPr>
          <w:rFonts w:eastAsia="Times New Roman" w:cs="Arial"/>
          <w:szCs w:val="20"/>
          <w:lang w:val="fr-CH" w:eastAsia="fr-CH"/>
        </w:rPr>
        <w:t xml:space="preserve">Absence de nausées et vomissements entre les épisodes </w:t>
      </w:r>
    </w:p>
    <w:p w:rsidR="00F720FC" w:rsidRPr="00F720FC" w:rsidRDefault="00F720FC" w:rsidP="00F720FC">
      <w:pPr>
        <w:pStyle w:val="Paragraphedeliste"/>
        <w:numPr>
          <w:ilvl w:val="0"/>
          <w:numId w:val="10"/>
        </w:numPr>
        <w:spacing w:line="336" w:lineRule="auto"/>
        <w:rPr>
          <w:rFonts w:eastAsia="Times New Roman" w:cs="Arial"/>
          <w:szCs w:val="20"/>
          <w:lang w:val="fr-CH" w:eastAsia="fr-CH"/>
        </w:rPr>
      </w:pPr>
      <w:r>
        <w:rPr>
          <w:rFonts w:eastAsia="Times New Roman" w:cs="Arial"/>
          <w:szCs w:val="20"/>
          <w:lang w:val="fr-CH" w:eastAsia="fr-CH"/>
        </w:rPr>
        <w:t>Pas d’autres causes pour expliquer les vomissements</w:t>
      </w:r>
    </w:p>
    <w:p w:rsidR="00CC3E3B" w:rsidRDefault="00CC3E3B" w:rsidP="00F720FC"/>
    <w:p w:rsidR="00CC3E3B" w:rsidRDefault="00CC3E3B" w:rsidP="00F720FC">
      <w:r w:rsidRPr="00CC3E3B">
        <w:rPr>
          <w:b/>
          <w:u w:val="single"/>
        </w:rPr>
        <w:t>DD</w:t>
      </w:r>
      <w:r>
        <w:t xml:space="preserve">: </w:t>
      </w:r>
    </w:p>
    <w:p w:rsidR="00F720FC" w:rsidRPr="00F720FC" w:rsidRDefault="00F720FC" w:rsidP="00F720FC">
      <w:pPr>
        <w:numPr>
          <w:ilvl w:val="1"/>
          <w:numId w:val="5"/>
        </w:numPr>
        <w:tabs>
          <w:tab w:val="clear" w:pos="1440"/>
        </w:tabs>
        <w:ind w:left="567"/>
        <w:rPr>
          <w:b/>
          <w:color w:val="FF0000"/>
        </w:rPr>
      </w:pPr>
      <w:r w:rsidRPr="00F720FC">
        <w:rPr>
          <w:b/>
          <w:color w:val="FF0000"/>
        </w:rPr>
        <w:t>Occlusion intestinale, volvulus</w:t>
      </w:r>
    </w:p>
    <w:p w:rsidR="00062724" w:rsidRDefault="00062724" w:rsidP="00F720FC">
      <w:pPr>
        <w:numPr>
          <w:ilvl w:val="1"/>
          <w:numId w:val="5"/>
        </w:numPr>
        <w:tabs>
          <w:tab w:val="clear" w:pos="1440"/>
        </w:tabs>
        <w:ind w:left="567"/>
      </w:pPr>
      <w:r>
        <w:t>Gastroentérite (virale, bactérienne)</w:t>
      </w:r>
    </w:p>
    <w:p w:rsidR="00C42B29" w:rsidRDefault="00C42B29" w:rsidP="00F720FC">
      <w:pPr>
        <w:numPr>
          <w:ilvl w:val="1"/>
          <w:numId w:val="5"/>
        </w:numPr>
        <w:tabs>
          <w:tab w:val="clear" w:pos="1440"/>
        </w:tabs>
        <w:ind w:left="567"/>
      </w:pPr>
      <w:r>
        <w:t>Intoxication alimentaire</w:t>
      </w:r>
    </w:p>
    <w:p w:rsidR="00C42B29" w:rsidRDefault="00C42B29" w:rsidP="00F720FC">
      <w:pPr>
        <w:numPr>
          <w:ilvl w:val="1"/>
          <w:numId w:val="5"/>
        </w:numPr>
        <w:tabs>
          <w:tab w:val="clear" w:pos="1440"/>
        </w:tabs>
        <w:ind w:left="567"/>
      </w:pPr>
      <w:r>
        <w:t>Allergie alimentaire</w:t>
      </w:r>
    </w:p>
    <w:p w:rsidR="00062724" w:rsidRDefault="00062724" w:rsidP="00F720FC">
      <w:pPr>
        <w:numPr>
          <w:ilvl w:val="1"/>
          <w:numId w:val="5"/>
        </w:numPr>
        <w:tabs>
          <w:tab w:val="clear" w:pos="1440"/>
        </w:tabs>
        <w:ind w:left="567"/>
      </w:pPr>
      <w:r>
        <w:t>Migraines (AF positive, réponse aux AINS)</w:t>
      </w:r>
    </w:p>
    <w:p w:rsidR="00062724" w:rsidRDefault="00062724" w:rsidP="00F720FC">
      <w:pPr>
        <w:numPr>
          <w:ilvl w:val="1"/>
          <w:numId w:val="5"/>
        </w:numPr>
        <w:tabs>
          <w:tab w:val="clear" w:pos="1440"/>
        </w:tabs>
        <w:ind w:left="567"/>
      </w:pPr>
      <w:r>
        <w:t>Migraines abdominales (mais doit avoir mal au ventre…)</w:t>
      </w:r>
    </w:p>
    <w:p w:rsidR="00C42B29" w:rsidRDefault="00C42B29" w:rsidP="00F720FC">
      <w:pPr>
        <w:numPr>
          <w:ilvl w:val="1"/>
          <w:numId w:val="5"/>
        </w:numPr>
        <w:tabs>
          <w:tab w:val="clear" w:pos="1440"/>
        </w:tabs>
        <w:ind w:left="567"/>
      </w:pPr>
      <w:r>
        <w:t>Migraine sur cycle menstruel</w:t>
      </w:r>
    </w:p>
    <w:p w:rsidR="00062724" w:rsidRDefault="00062724" w:rsidP="00F720FC">
      <w:pPr>
        <w:numPr>
          <w:ilvl w:val="1"/>
          <w:numId w:val="5"/>
        </w:numPr>
        <w:tabs>
          <w:tab w:val="clear" w:pos="1440"/>
        </w:tabs>
        <w:ind w:left="567"/>
      </w:pPr>
      <w:r>
        <w:t>Intoxication alimentaire</w:t>
      </w:r>
    </w:p>
    <w:p w:rsidR="00062724" w:rsidRDefault="00062724" w:rsidP="00F720FC">
      <w:pPr>
        <w:numPr>
          <w:ilvl w:val="1"/>
          <w:numId w:val="5"/>
        </w:numPr>
        <w:tabs>
          <w:tab w:val="clear" w:pos="1440"/>
        </w:tabs>
        <w:ind w:left="567"/>
      </w:pPr>
      <w:r w:rsidRPr="00F720FC">
        <w:rPr>
          <w:b/>
          <w:color w:val="FF0000"/>
        </w:rPr>
        <w:t xml:space="preserve">Hypertension intra </w:t>
      </w:r>
      <w:r w:rsidR="00C42B29" w:rsidRPr="00F720FC">
        <w:rPr>
          <w:b/>
          <w:color w:val="FF0000"/>
        </w:rPr>
        <w:t>crânienne</w:t>
      </w:r>
      <w:r w:rsidRPr="00F720FC">
        <w:rPr>
          <w:color w:val="FF0000"/>
        </w:rPr>
        <w:t xml:space="preserve"> </w:t>
      </w:r>
      <w:r>
        <w:t>(tumeur SNC, infection, AVC)</w:t>
      </w:r>
    </w:p>
    <w:p w:rsidR="00CC3E3B" w:rsidRDefault="00CC3E3B" w:rsidP="00F720FC">
      <w:pPr>
        <w:numPr>
          <w:ilvl w:val="1"/>
          <w:numId w:val="5"/>
        </w:numPr>
        <w:tabs>
          <w:tab w:val="clear" w:pos="1440"/>
        </w:tabs>
        <w:ind w:left="567"/>
      </w:pPr>
      <w:proofErr w:type="spellStart"/>
      <w:r>
        <w:t>Hélicobacetr</w:t>
      </w:r>
      <w:proofErr w:type="spellEnd"/>
      <w:r>
        <w:t xml:space="preserve"> </w:t>
      </w:r>
      <w:proofErr w:type="spellStart"/>
      <w:r>
        <w:t>pylori</w:t>
      </w:r>
      <w:proofErr w:type="spellEnd"/>
    </w:p>
    <w:p w:rsidR="00CC3E3B" w:rsidRDefault="00CC3E3B" w:rsidP="00F720FC">
      <w:pPr>
        <w:numPr>
          <w:ilvl w:val="1"/>
          <w:numId w:val="5"/>
        </w:numPr>
        <w:tabs>
          <w:tab w:val="clear" w:pos="1440"/>
        </w:tabs>
        <w:ind w:left="567"/>
      </w:pPr>
      <w:r w:rsidRPr="00F720FC">
        <w:rPr>
          <w:b/>
        </w:rPr>
        <w:t>Maladie métabolique</w:t>
      </w:r>
      <w:r w:rsidR="00C42B29">
        <w:t xml:space="preserve"> (si changement de régime, maladie, stress, jeune prolongé)</w:t>
      </w:r>
    </w:p>
    <w:p w:rsidR="00C42B29" w:rsidRDefault="00C42B29" w:rsidP="00F720FC">
      <w:pPr>
        <w:numPr>
          <w:ilvl w:val="1"/>
          <w:numId w:val="5"/>
        </w:numPr>
        <w:tabs>
          <w:tab w:val="clear" w:pos="1440"/>
        </w:tabs>
        <w:ind w:left="567"/>
      </w:pPr>
      <w:r>
        <w:t>Sevrage du cannabis</w:t>
      </w:r>
    </w:p>
    <w:p w:rsidR="00C42B29" w:rsidRPr="00C42B29" w:rsidRDefault="00C42B29" w:rsidP="00F720FC">
      <w:pPr>
        <w:numPr>
          <w:ilvl w:val="1"/>
          <w:numId w:val="5"/>
        </w:numPr>
        <w:tabs>
          <w:tab w:val="clear" w:pos="1440"/>
        </w:tabs>
        <w:ind w:left="567"/>
      </w:pPr>
      <w:r>
        <w:rPr>
          <w:rFonts w:cs="Arial"/>
          <w:szCs w:val="20"/>
        </w:rPr>
        <w:t xml:space="preserve">MELAS: Mitochondrial </w:t>
      </w:r>
      <w:proofErr w:type="spellStart"/>
      <w:r>
        <w:rPr>
          <w:rFonts w:cs="Arial"/>
          <w:szCs w:val="20"/>
        </w:rPr>
        <w:t>Encephalopathy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Lactic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Acidosis</w:t>
      </w:r>
      <w:proofErr w:type="spellEnd"/>
      <w:r>
        <w:rPr>
          <w:rFonts w:cs="Arial"/>
          <w:szCs w:val="20"/>
        </w:rPr>
        <w:t>, and Stroke-</w:t>
      </w:r>
      <w:proofErr w:type="spellStart"/>
      <w:r>
        <w:rPr>
          <w:rFonts w:cs="Arial"/>
          <w:szCs w:val="20"/>
        </w:rPr>
        <w:t>like</w:t>
      </w:r>
      <w:proofErr w:type="spellEnd"/>
      <w:r>
        <w:rPr>
          <w:rFonts w:cs="Arial"/>
          <w:szCs w:val="20"/>
        </w:rPr>
        <w:t xml:space="preserve"> Syndrome si infection ou jeune prolongé </w:t>
      </w:r>
    </w:p>
    <w:p w:rsidR="00CC3E3B" w:rsidRDefault="00CC3E3B" w:rsidP="00F720FC">
      <w:pPr>
        <w:numPr>
          <w:ilvl w:val="1"/>
          <w:numId w:val="5"/>
        </w:numPr>
        <w:tabs>
          <w:tab w:val="clear" w:pos="1440"/>
        </w:tabs>
        <w:ind w:left="567"/>
      </w:pPr>
      <w:r>
        <w:lastRenderedPageBreak/>
        <w:t xml:space="preserve">Anomalies du DNA </w:t>
      </w:r>
      <w:proofErr w:type="spellStart"/>
      <w:r>
        <w:t>mitochodrial</w:t>
      </w:r>
      <w:proofErr w:type="spellEnd"/>
      <w:r w:rsidR="00062724">
        <w:t xml:space="preserve"> (</w:t>
      </w:r>
      <w:r w:rsidR="00C257D3">
        <w:rPr>
          <w:rFonts w:cs="Arial"/>
          <w:szCs w:val="20"/>
        </w:rPr>
        <w:t>16519T and 3010A</w:t>
      </w:r>
      <w:r w:rsidR="00062724">
        <w:rPr>
          <w:rFonts w:cs="Arial"/>
          <w:szCs w:val="20"/>
        </w:rPr>
        <w:t xml:space="preserve">) </w:t>
      </w:r>
      <w:r>
        <w:t xml:space="preserve">=&gt; y penser </w:t>
      </w:r>
      <w:r w:rsidR="00C42B29">
        <w:t>si</w:t>
      </w:r>
      <w:r>
        <w:t xml:space="preserve"> retard </w:t>
      </w:r>
      <w:proofErr w:type="spellStart"/>
      <w:r>
        <w:t>psycho-m</w:t>
      </w:r>
      <w:r w:rsidR="00C42B29">
        <w:t>oteurs</w:t>
      </w:r>
      <w:proofErr w:type="spellEnd"/>
      <w:r w:rsidR="00C42B29">
        <w:t>, ataxie</w:t>
      </w:r>
    </w:p>
    <w:p w:rsidR="003F4D07" w:rsidRDefault="003F4D07" w:rsidP="00F720FC"/>
    <w:p w:rsidR="00062724" w:rsidRPr="007C41D5" w:rsidRDefault="00062724" w:rsidP="00F720FC">
      <w:r w:rsidRPr="007C41D5">
        <w:rPr>
          <w:b/>
          <w:u w:val="single"/>
        </w:rPr>
        <w:t xml:space="preserve">Traitement </w:t>
      </w:r>
      <w:r w:rsidRPr="007C41D5">
        <w:t>:</w:t>
      </w:r>
    </w:p>
    <w:p w:rsidR="00F720FC" w:rsidRDefault="00F720FC" w:rsidP="00F720FC">
      <w:pPr>
        <w:numPr>
          <w:ilvl w:val="0"/>
          <w:numId w:val="7"/>
        </w:numPr>
        <w:tabs>
          <w:tab w:val="clear" w:pos="1440"/>
          <w:tab w:val="num" w:pos="720"/>
        </w:tabs>
        <w:ind w:left="720"/>
      </w:pPr>
      <w:r>
        <w:t>Réhydratation</w:t>
      </w:r>
    </w:p>
    <w:p w:rsidR="00F720FC" w:rsidRDefault="00F720FC" w:rsidP="00F720FC">
      <w:pPr>
        <w:numPr>
          <w:ilvl w:val="0"/>
          <w:numId w:val="7"/>
        </w:numPr>
        <w:tabs>
          <w:tab w:val="clear" w:pos="1440"/>
          <w:tab w:val="num" w:pos="720"/>
        </w:tabs>
        <w:ind w:left="720"/>
      </w:pPr>
      <w:r>
        <w:t>Corriger la cétose si présente</w:t>
      </w:r>
      <w:r w:rsidR="00062724" w:rsidRPr="007C41D5">
        <w:t xml:space="preserve"> </w:t>
      </w:r>
      <w:r>
        <w:t>perfusion G</w:t>
      </w:r>
      <w:r w:rsidR="00062724" w:rsidRPr="007C41D5">
        <w:t xml:space="preserve">10% </w:t>
      </w:r>
      <w:r>
        <w:t xml:space="preserve">ou </w:t>
      </w:r>
      <w:r w:rsidR="00062724" w:rsidRPr="007C41D5">
        <w:t xml:space="preserve">Coca </w:t>
      </w:r>
    </w:p>
    <w:p w:rsidR="00C257D3" w:rsidRDefault="00062724" w:rsidP="00F720FC">
      <w:pPr>
        <w:numPr>
          <w:ilvl w:val="0"/>
          <w:numId w:val="7"/>
        </w:numPr>
        <w:tabs>
          <w:tab w:val="clear" w:pos="1440"/>
          <w:tab w:val="num" w:pos="720"/>
        </w:tabs>
        <w:ind w:left="720"/>
      </w:pPr>
      <w:r>
        <w:t>Traitement comme un</w:t>
      </w:r>
      <w:r w:rsidR="00C257D3">
        <w:t xml:space="preserve"> équivalent migraineux </w:t>
      </w:r>
    </w:p>
    <w:p w:rsidR="00C257D3" w:rsidRDefault="00C257D3" w:rsidP="00C257D3">
      <w:pPr>
        <w:numPr>
          <w:ilvl w:val="1"/>
          <w:numId w:val="7"/>
        </w:numPr>
      </w:pPr>
      <w:proofErr w:type="spellStart"/>
      <w:r>
        <w:t>Brufen</w:t>
      </w:r>
      <w:proofErr w:type="spellEnd"/>
      <w:r>
        <w:t>®</w:t>
      </w:r>
    </w:p>
    <w:p w:rsidR="00C257D3" w:rsidRDefault="00C257D3" w:rsidP="00C257D3">
      <w:pPr>
        <w:numPr>
          <w:ilvl w:val="1"/>
          <w:numId w:val="7"/>
        </w:numPr>
      </w:pPr>
      <w:r>
        <w:t>Tora-Dol®(</w:t>
      </w:r>
      <w:proofErr w:type="spellStart"/>
      <w:r>
        <w:t>Ketorolac</w:t>
      </w:r>
      <w:proofErr w:type="spellEnd"/>
      <w:r>
        <w:t xml:space="preserve">) </w:t>
      </w:r>
    </w:p>
    <w:p w:rsidR="00062724" w:rsidRDefault="00062724" w:rsidP="00F720FC">
      <w:pPr>
        <w:numPr>
          <w:ilvl w:val="0"/>
          <w:numId w:val="7"/>
        </w:numPr>
        <w:tabs>
          <w:tab w:val="clear" w:pos="1440"/>
          <w:tab w:val="num" w:pos="720"/>
        </w:tabs>
        <w:ind w:left="720"/>
      </w:pPr>
      <w:r w:rsidRPr="007C41D5">
        <w:t>Traitement de l'ango</w:t>
      </w:r>
      <w:r>
        <w:t>isse</w:t>
      </w:r>
    </w:p>
    <w:p w:rsidR="00062724" w:rsidRDefault="00062724" w:rsidP="00F720FC">
      <w:pPr>
        <w:numPr>
          <w:ilvl w:val="1"/>
          <w:numId w:val="7"/>
        </w:numPr>
      </w:pPr>
      <w:r>
        <w:t>Mettre au calme</w:t>
      </w:r>
    </w:p>
    <w:p w:rsidR="00062724" w:rsidRDefault="00062724" w:rsidP="00F720FC">
      <w:pPr>
        <w:numPr>
          <w:ilvl w:val="1"/>
          <w:numId w:val="7"/>
        </w:numPr>
      </w:pPr>
      <w:r>
        <w:t>BDZ</w:t>
      </w:r>
    </w:p>
    <w:p w:rsidR="00F720FC" w:rsidRPr="007C41D5" w:rsidRDefault="00F720FC" w:rsidP="00F720FC">
      <w:pPr>
        <w:numPr>
          <w:ilvl w:val="0"/>
          <w:numId w:val="7"/>
        </w:numPr>
        <w:tabs>
          <w:tab w:val="clear" w:pos="1440"/>
          <w:tab w:val="num" w:pos="720"/>
        </w:tabs>
        <w:ind w:left="720"/>
      </w:pPr>
      <w:r w:rsidRPr="007C41D5">
        <w:t xml:space="preserve">Anti émétiques intra-nasal efficace surtout en début de crise </w:t>
      </w:r>
    </w:p>
    <w:p w:rsidR="00F720FC" w:rsidRDefault="00F720FC" w:rsidP="00F720FC">
      <w:pPr>
        <w:numPr>
          <w:ilvl w:val="2"/>
          <w:numId w:val="7"/>
        </w:numPr>
        <w:tabs>
          <w:tab w:val="clear" w:pos="2880"/>
          <w:tab w:val="num" w:pos="2160"/>
        </w:tabs>
        <w:ind w:left="2160"/>
      </w:pPr>
      <w:proofErr w:type="spellStart"/>
      <w:r w:rsidRPr="007C41D5">
        <w:t>Zofran</w:t>
      </w:r>
      <w:proofErr w:type="spellEnd"/>
      <w:r>
        <w:t>®</w:t>
      </w:r>
      <w:r w:rsidR="00C257D3">
        <w:t xml:space="preserve"> (</w:t>
      </w:r>
      <w:proofErr w:type="spellStart"/>
      <w:r w:rsidR="00C257D3">
        <w:t>ondanzétron</w:t>
      </w:r>
      <w:proofErr w:type="spellEnd"/>
      <w:r w:rsidR="00C257D3">
        <w:t>)</w:t>
      </w:r>
    </w:p>
    <w:p w:rsidR="00C257D3" w:rsidRDefault="00C257D3" w:rsidP="00F720FC">
      <w:pPr>
        <w:numPr>
          <w:ilvl w:val="2"/>
          <w:numId w:val="7"/>
        </w:numPr>
        <w:tabs>
          <w:tab w:val="clear" w:pos="2880"/>
          <w:tab w:val="num" w:pos="2160"/>
        </w:tabs>
        <w:ind w:left="2160"/>
      </w:pPr>
      <w:proofErr w:type="spellStart"/>
      <w:r>
        <w:t>Dexaméthasone</w:t>
      </w:r>
      <w:proofErr w:type="spellEnd"/>
    </w:p>
    <w:p w:rsidR="00C257D3" w:rsidRDefault="00C257D3" w:rsidP="00F720FC">
      <w:pPr>
        <w:numPr>
          <w:ilvl w:val="2"/>
          <w:numId w:val="7"/>
        </w:numPr>
        <w:tabs>
          <w:tab w:val="clear" w:pos="2880"/>
          <w:tab w:val="num" w:pos="2160"/>
        </w:tabs>
        <w:ind w:left="2160"/>
      </w:pPr>
      <w:proofErr w:type="spellStart"/>
      <w:r>
        <w:t>Naloxone</w:t>
      </w:r>
      <w:proofErr w:type="spellEnd"/>
    </w:p>
    <w:p w:rsidR="00C257D3" w:rsidRPr="007C41D5" w:rsidRDefault="00C257D3" w:rsidP="00F720FC">
      <w:pPr>
        <w:numPr>
          <w:ilvl w:val="2"/>
          <w:numId w:val="7"/>
        </w:numPr>
        <w:tabs>
          <w:tab w:val="clear" w:pos="2880"/>
          <w:tab w:val="num" w:pos="2160"/>
        </w:tabs>
        <w:ind w:left="2160"/>
      </w:pPr>
      <w:proofErr w:type="spellStart"/>
      <w:r>
        <w:t>Primpéran</w:t>
      </w:r>
      <w:proofErr w:type="spellEnd"/>
      <w:r>
        <w:t>® (</w:t>
      </w:r>
      <w:proofErr w:type="spellStart"/>
      <w:r>
        <w:t>metoclopramide</w:t>
      </w:r>
      <w:proofErr w:type="spellEnd"/>
      <w:r>
        <w:t>)</w:t>
      </w:r>
    </w:p>
    <w:p w:rsidR="00F720FC" w:rsidRDefault="00F720FC" w:rsidP="00F720FC">
      <w:pPr>
        <w:numPr>
          <w:ilvl w:val="0"/>
          <w:numId w:val="7"/>
        </w:numPr>
        <w:tabs>
          <w:tab w:val="clear" w:pos="1440"/>
          <w:tab w:val="num" w:pos="720"/>
        </w:tabs>
        <w:ind w:left="720"/>
      </w:pPr>
      <w:r>
        <w:t>Eviter par la suite les trigger s’ils ont été découverts</w:t>
      </w:r>
    </w:p>
    <w:p w:rsidR="00C257D3" w:rsidRDefault="00F720FC" w:rsidP="00C257D3">
      <w:pPr>
        <w:numPr>
          <w:ilvl w:val="0"/>
          <w:numId w:val="7"/>
        </w:numPr>
        <w:tabs>
          <w:tab w:val="clear" w:pos="1440"/>
          <w:tab w:val="num" w:pos="720"/>
        </w:tabs>
        <w:ind w:left="720"/>
      </w:pPr>
      <w:r>
        <w:t>Consultation gastro ou neuro si invalidant</w:t>
      </w:r>
      <w:r w:rsidR="00C257D3">
        <w:t xml:space="preserve"> pour discuter possibilité de traitement préventif :</w:t>
      </w:r>
    </w:p>
    <w:p w:rsidR="00C257D3" w:rsidRDefault="00C257D3" w:rsidP="00C257D3">
      <w:pPr>
        <w:pStyle w:val="Paragraphedeliste"/>
        <w:numPr>
          <w:ilvl w:val="1"/>
          <w:numId w:val="7"/>
        </w:numPr>
      </w:pPr>
      <w:proofErr w:type="spellStart"/>
      <w:r>
        <w:t>Sumatriptan</w:t>
      </w:r>
      <w:proofErr w:type="spellEnd"/>
    </w:p>
    <w:p w:rsidR="00C257D3" w:rsidRDefault="00C257D3" w:rsidP="00C257D3">
      <w:pPr>
        <w:pStyle w:val="Paragraphedeliste"/>
        <w:numPr>
          <w:ilvl w:val="1"/>
          <w:numId w:val="7"/>
        </w:numPr>
      </w:pPr>
      <w:proofErr w:type="spellStart"/>
      <w:r>
        <w:t>Amitryptiline</w:t>
      </w:r>
      <w:proofErr w:type="spellEnd"/>
      <w:r>
        <w:t xml:space="preserve"> (si suspicion d’équivalent migraineux)</w:t>
      </w:r>
    </w:p>
    <w:p w:rsidR="008A74F2" w:rsidRDefault="00C257D3" w:rsidP="008A74F2">
      <w:pPr>
        <w:pStyle w:val="Paragraphedeliste"/>
        <w:numPr>
          <w:ilvl w:val="1"/>
          <w:numId w:val="7"/>
        </w:numPr>
      </w:pPr>
      <w:proofErr w:type="spellStart"/>
      <w:r w:rsidRPr="007C41D5">
        <w:t>Imigran</w:t>
      </w:r>
      <w:proofErr w:type="spellEnd"/>
      <w:r>
        <w:t>® (</w:t>
      </w:r>
      <w:proofErr w:type="spellStart"/>
      <w:r>
        <w:t>sumatriptan</w:t>
      </w:r>
      <w:proofErr w:type="spellEnd"/>
      <w:r>
        <w:t>)</w:t>
      </w:r>
    </w:p>
    <w:p w:rsidR="008A74F2" w:rsidRDefault="008A74F2" w:rsidP="008A74F2">
      <w:pPr>
        <w:pStyle w:val="Paragraphedeliste"/>
        <w:numPr>
          <w:ilvl w:val="1"/>
          <w:numId w:val="7"/>
        </w:numPr>
      </w:pPr>
      <w:proofErr w:type="spellStart"/>
      <w:r>
        <w:t>p</w:t>
      </w:r>
      <w:r>
        <w:t>ropranolol</w:t>
      </w:r>
      <w:proofErr w:type="spellEnd"/>
      <w:r>
        <w:t xml:space="preserve"> </w:t>
      </w:r>
    </w:p>
    <w:p w:rsidR="00C257D3" w:rsidRDefault="00C257D3" w:rsidP="00C257D3">
      <w:pPr>
        <w:pStyle w:val="Paragraphedeliste"/>
        <w:numPr>
          <w:ilvl w:val="1"/>
          <w:numId w:val="7"/>
        </w:numPr>
      </w:pPr>
      <w:r>
        <w:t>Coenzyme Q10 et L-</w:t>
      </w:r>
      <w:proofErr w:type="spellStart"/>
      <w:r>
        <w:t>carnitine</w:t>
      </w:r>
      <w:proofErr w:type="spellEnd"/>
    </w:p>
    <w:p w:rsidR="008A74F2" w:rsidRDefault="00C257D3" w:rsidP="00C257D3">
      <w:pPr>
        <w:pStyle w:val="Paragraphedeliste"/>
        <w:numPr>
          <w:ilvl w:val="1"/>
          <w:numId w:val="7"/>
        </w:numPr>
      </w:pPr>
      <w:r>
        <w:t xml:space="preserve">Antidépresseur TC </w:t>
      </w:r>
    </w:p>
    <w:p w:rsidR="00C257D3" w:rsidRDefault="00C257D3" w:rsidP="00C257D3">
      <w:pPr>
        <w:pStyle w:val="Paragraphedeliste"/>
        <w:numPr>
          <w:ilvl w:val="1"/>
          <w:numId w:val="7"/>
        </w:numPr>
      </w:pPr>
      <w:bookmarkStart w:id="0" w:name="_GoBack"/>
      <w:bookmarkEnd w:id="0"/>
      <w:r>
        <w:t>etc.</w:t>
      </w:r>
    </w:p>
    <w:p w:rsidR="00062724" w:rsidRPr="007C41D5" w:rsidRDefault="00062724" w:rsidP="00F720FC"/>
    <w:p w:rsidR="003F4D07" w:rsidRPr="003F4D07" w:rsidRDefault="003F4D07" w:rsidP="00F720FC">
      <w:pPr>
        <w:rPr>
          <w:b/>
          <w:u w:val="single"/>
        </w:rPr>
      </w:pPr>
      <w:r w:rsidRPr="003F4D07">
        <w:rPr>
          <w:b/>
          <w:u w:val="single"/>
        </w:rPr>
        <w:t>Pronostic</w:t>
      </w:r>
    </w:p>
    <w:p w:rsidR="003F4D07" w:rsidRDefault="003F4D07" w:rsidP="00F720FC"/>
    <w:p w:rsidR="003F4D07" w:rsidRDefault="003F4D07" w:rsidP="00F720FC">
      <w:pPr>
        <w:pStyle w:val="Paragraphedeliste"/>
        <w:numPr>
          <w:ilvl w:val="0"/>
          <w:numId w:val="4"/>
        </w:numPr>
        <w:ind w:left="567"/>
      </w:pPr>
      <w:r>
        <w:t>Evolution spontanément favorable mais durée imprévisible</w:t>
      </w:r>
    </w:p>
    <w:p w:rsidR="00C257D3" w:rsidRDefault="00C257D3" w:rsidP="00C257D3"/>
    <w:p w:rsidR="001218F0" w:rsidRDefault="001218F0" w:rsidP="00F720FC">
      <w:pPr>
        <w:pStyle w:val="Paragraphedeliste"/>
        <w:numPr>
          <w:ilvl w:val="0"/>
          <w:numId w:val="4"/>
        </w:numPr>
        <w:ind w:left="567"/>
      </w:pPr>
      <w:r>
        <w:lastRenderedPageBreak/>
        <w:t>80% auront par la suite des migrai</w:t>
      </w:r>
      <w:r w:rsidR="00F720FC" w:rsidRPr="00F720FC">
        <w:rPr>
          <w:noProof/>
          <w:lang w:val="fr-CH" w:eastAsia="fr-CH"/>
        </w:rPr>
        <w:t xml:space="preserve"> </w:t>
      </w:r>
      <w:r w:rsidR="00F720FC">
        <w:rPr>
          <w:noProof/>
          <w:lang w:val="fr-CH" w:eastAsia="fr-CH"/>
        </w:rPr>
        <w:drawing>
          <wp:inline distT="0" distB="0" distL="0" distR="0" wp14:anchorId="449F1A7E" wp14:editId="6B50B1C3">
            <wp:extent cx="4673600" cy="6604000"/>
            <wp:effectExtent l="0" t="0" r="0" b="635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0" cy="66040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F720FC">
        <w:t xml:space="preserve"> </w:t>
      </w:r>
      <w:proofErr w:type="spellStart"/>
      <w:r>
        <w:t>nes</w:t>
      </w:r>
      <w:proofErr w:type="spellEnd"/>
      <w:r>
        <w:t xml:space="preserve"> après l’</w:t>
      </w:r>
      <w:proofErr w:type="spellStart"/>
      <w:r>
        <w:t>adolecence</w:t>
      </w:r>
      <w:proofErr w:type="spellEnd"/>
    </w:p>
    <w:p w:rsidR="00C05A6C" w:rsidRDefault="00F720FC" w:rsidP="00F720FC">
      <w:r>
        <w:rPr>
          <w:noProof/>
          <w:lang w:val="fr-CH" w:eastAsia="fr-CH"/>
        </w:rPr>
        <w:lastRenderedPageBreak/>
        <w:drawing>
          <wp:inline distT="0" distB="0" distL="0" distR="0" wp14:anchorId="437AA8A4">
            <wp:extent cx="4669790" cy="660273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790" cy="660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05A6C" w:rsidSect="00CC3E3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8"/>
    <w:multiLevelType w:val="multilevel"/>
    <w:tmpl w:val="9364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49"/>
    <w:multiLevelType w:val="multilevel"/>
    <w:tmpl w:val="9364CD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000004A"/>
    <w:multiLevelType w:val="multilevel"/>
    <w:tmpl w:val="9364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4B"/>
    <w:multiLevelType w:val="multilevel"/>
    <w:tmpl w:val="9364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E0092E"/>
    <w:multiLevelType w:val="multilevel"/>
    <w:tmpl w:val="AC1AF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946E6C"/>
    <w:multiLevelType w:val="hybridMultilevel"/>
    <w:tmpl w:val="292CD0BE"/>
    <w:lvl w:ilvl="0" w:tplc="100C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C1B8496E">
      <w:numFmt w:val="bullet"/>
      <w:lvlText w:val=""/>
      <w:lvlJc w:val="left"/>
      <w:pPr>
        <w:ind w:left="2250" w:hanging="360"/>
      </w:pPr>
      <w:rPr>
        <w:rFonts w:ascii="Wingdings" w:eastAsia="Times New Roman" w:hAnsi="Wingdings" w:cs="Arial" w:hint="default"/>
      </w:rPr>
    </w:lvl>
    <w:lvl w:ilvl="2" w:tplc="100C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3C87431A"/>
    <w:multiLevelType w:val="multilevel"/>
    <w:tmpl w:val="10DA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297F0A"/>
    <w:multiLevelType w:val="hybridMultilevel"/>
    <w:tmpl w:val="C9B2528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4147C5"/>
    <w:multiLevelType w:val="hybridMultilevel"/>
    <w:tmpl w:val="B4F23E1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E8588E"/>
    <w:multiLevelType w:val="hybridMultilevel"/>
    <w:tmpl w:val="124AFB7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8812D4"/>
    <w:multiLevelType w:val="multilevel"/>
    <w:tmpl w:val="1432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78363E"/>
    <w:multiLevelType w:val="hybridMultilevel"/>
    <w:tmpl w:val="6270CCC8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8"/>
  </w:num>
  <w:num w:numId="5">
    <w:abstractNumId w:val="4"/>
  </w:num>
  <w:num w:numId="6">
    <w:abstractNumId w:val="9"/>
  </w:num>
  <w:num w:numId="7">
    <w:abstractNumId w:val="1"/>
  </w:num>
  <w:num w:numId="8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7"/>
  </w:num>
  <w:num w:numId="11">
    <w:abstractNumId w:val="5"/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3B"/>
    <w:rsid w:val="00062724"/>
    <w:rsid w:val="001218F0"/>
    <w:rsid w:val="003F4D07"/>
    <w:rsid w:val="008A74F2"/>
    <w:rsid w:val="00C05A6C"/>
    <w:rsid w:val="00C257D3"/>
    <w:rsid w:val="00C42B29"/>
    <w:rsid w:val="00CC3E3B"/>
    <w:rsid w:val="00F7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E3B"/>
    <w:pPr>
      <w:spacing w:after="0" w:line="240" w:lineRule="auto"/>
    </w:pPr>
    <w:rPr>
      <w:rFonts w:ascii="Arial" w:eastAsia="Helvetica" w:hAnsi="Arial" w:cs="Times New Roman"/>
      <w:sz w:val="20"/>
      <w:szCs w:val="24"/>
      <w:lang w:val="fr-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3E3B"/>
    <w:pPr>
      <w:ind w:left="720"/>
      <w:contextualSpacing/>
    </w:pPr>
  </w:style>
  <w:style w:type="paragraph" w:customStyle="1" w:styleId="headinganchor4">
    <w:name w:val="headinganchor4"/>
    <w:basedOn w:val="Normal"/>
    <w:rsid w:val="001218F0"/>
    <w:pPr>
      <w:spacing w:after="150" w:line="336" w:lineRule="auto"/>
    </w:pPr>
    <w:rPr>
      <w:rFonts w:ascii="Times New Roman" w:eastAsia="Times New Roman" w:hAnsi="Times New Roman"/>
      <w:sz w:val="24"/>
      <w:lang w:val="fr-CH" w:eastAsia="fr-CH"/>
    </w:rPr>
  </w:style>
  <w:style w:type="character" w:customStyle="1" w:styleId="h22">
    <w:name w:val="h22"/>
    <w:basedOn w:val="Policepardfaut"/>
    <w:rsid w:val="001218F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20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20FC"/>
    <w:rPr>
      <w:rFonts w:ascii="Tahoma" w:eastAsia="Helvetica" w:hAnsi="Tahoma" w:cs="Tahoma"/>
      <w:sz w:val="16"/>
      <w:szCs w:val="16"/>
      <w:lang w:val="fr-F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E3B"/>
    <w:pPr>
      <w:spacing w:after="0" w:line="240" w:lineRule="auto"/>
    </w:pPr>
    <w:rPr>
      <w:rFonts w:ascii="Arial" w:eastAsia="Helvetica" w:hAnsi="Arial" w:cs="Times New Roman"/>
      <w:sz w:val="20"/>
      <w:szCs w:val="24"/>
      <w:lang w:val="fr-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3E3B"/>
    <w:pPr>
      <w:ind w:left="720"/>
      <w:contextualSpacing/>
    </w:pPr>
  </w:style>
  <w:style w:type="paragraph" w:customStyle="1" w:styleId="headinganchor4">
    <w:name w:val="headinganchor4"/>
    <w:basedOn w:val="Normal"/>
    <w:rsid w:val="001218F0"/>
    <w:pPr>
      <w:spacing w:after="150" w:line="336" w:lineRule="auto"/>
    </w:pPr>
    <w:rPr>
      <w:rFonts w:ascii="Times New Roman" w:eastAsia="Times New Roman" w:hAnsi="Times New Roman"/>
      <w:sz w:val="24"/>
      <w:lang w:val="fr-CH" w:eastAsia="fr-CH"/>
    </w:rPr>
  </w:style>
  <w:style w:type="character" w:customStyle="1" w:styleId="h22">
    <w:name w:val="h22"/>
    <w:basedOn w:val="Policepardfaut"/>
    <w:rsid w:val="001218F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20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20FC"/>
    <w:rPr>
      <w:rFonts w:ascii="Tahoma" w:eastAsia="Helvetica" w:hAnsi="Tahoma" w:cs="Tahoma"/>
      <w:sz w:val="16"/>
      <w:szCs w:val="16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2689">
              <w:marLeft w:val="450"/>
              <w:marRight w:val="90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0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34A73D66.dotm</Template>
  <TotalTime>60</TotalTime>
  <Pages>4</Pages>
  <Words>451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FHVi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martinezm</dc:creator>
  <cp:lastModifiedBy>martinezm</cp:lastModifiedBy>
  <cp:revision>5</cp:revision>
  <dcterms:created xsi:type="dcterms:W3CDTF">2012-11-30T14:43:00Z</dcterms:created>
  <dcterms:modified xsi:type="dcterms:W3CDTF">2012-11-30T15:46:00Z</dcterms:modified>
</cp:coreProperties>
</file>