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808A" w14:textId="25B7FB59" w:rsidR="008A250B" w:rsidRPr="008A250B" w:rsidRDefault="005E15F2" w:rsidP="005E15F2">
      <w:pPr>
        <w:spacing w:after="100" w:afterAutospacing="1"/>
        <w:ind w:left="-993" w:right="-1134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0"/>
          <w:szCs w:val="40"/>
          <w:lang w:val="en-US" w:eastAsia="fr-FR"/>
        </w:rPr>
      </w:pPr>
      <w:r w:rsidRPr="005E15F2">
        <w:rPr>
          <w:rFonts w:ascii="inherit" w:eastAsia="Times New Roman" w:hAnsi="inherit" w:cs="Times New Roman"/>
          <w:b/>
          <w:bCs/>
          <w:kern w:val="36"/>
          <w:sz w:val="40"/>
          <w:szCs w:val="40"/>
          <w:lang w:val="en-US" w:eastAsia="fr-FR"/>
        </w:rPr>
        <w:t>CLASSIFICATION OF MALNUTRITION IN CHILDREN</w:t>
      </w:r>
      <w:r w:rsidR="008A250B" w:rsidRPr="008A250B">
        <w:rPr>
          <w:rFonts w:ascii="Segoe UI" w:eastAsia="Times New Roman" w:hAnsi="Segoe UI" w:cs="Segoe UI"/>
          <w:color w:val="212529"/>
          <w:lang w:val="en-US" w:eastAsia="fr-FR"/>
        </w:rPr>
        <w:br/>
      </w:r>
      <w:r w:rsidR="008A250B" w:rsidRPr="008A250B">
        <w:rPr>
          <w:rFonts w:ascii="Segoe UI" w:eastAsia="Times New Roman" w:hAnsi="Segoe UI" w:cs="Segoe UI"/>
          <w:b/>
          <w:bCs/>
          <w:color w:val="212529"/>
          <w:lang w:eastAsia="fr-FR"/>
        </w:rPr>
        <w:t>DEFINITIONS OF MALNUTRITION</w:t>
      </w:r>
    </w:p>
    <w:tbl>
      <w:tblPr>
        <w:tblW w:w="1039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435"/>
        <w:gridCol w:w="2651"/>
        <w:gridCol w:w="2830"/>
        <w:gridCol w:w="10"/>
      </w:tblGrid>
      <w:tr w:rsidR="008A250B" w:rsidRPr="008A250B" w14:paraId="658F60F0" w14:textId="77777777" w:rsidTr="008A250B"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09FF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Classification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49A2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Definition</w:t>
            </w:r>
            <w:proofErr w:type="spellEnd"/>
          </w:p>
        </w:tc>
        <w:tc>
          <w:tcPr>
            <w:tcW w:w="5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CF6D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Grading</w:t>
            </w:r>
            <w:proofErr w:type="spellEnd"/>
          </w:p>
        </w:tc>
      </w:tr>
      <w:tr w:rsidR="008A250B" w:rsidRPr="008A250B" w14:paraId="5F871CA3" w14:textId="77777777" w:rsidTr="008A250B">
        <w:trPr>
          <w:gridAfter w:val="1"/>
          <w:wAfter w:w="1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B6F2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Gomez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40FF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Weight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below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%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median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WFA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63BB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Mild (grade 1)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Moderate (grade 2)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Severe (grade 3)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E8C2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75%–90% WFA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60%–74% WFA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&lt;60% WFA</w:t>
            </w:r>
          </w:p>
        </w:tc>
      </w:tr>
      <w:tr w:rsidR="008A250B" w:rsidRPr="008A250B" w14:paraId="59C6498E" w14:textId="77777777" w:rsidTr="008A250B">
        <w:trPr>
          <w:gridAfter w:val="1"/>
          <w:wAfter w:w="1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81F7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Waterlow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B806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z-scores (SD) below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median WFH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891C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Mild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Moderate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Severe</w:t>
            </w:r>
            <w:proofErr w:type="spellEnd"/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C33A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80%–90% WFH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70%–80% WFH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&lt;70% WFH</w:t>
            </w:r>
          </w:p>
        </w:tc>
      </w:tr>
      <w:tr w:rsidR="008A250B" w:rsidRPr="008A250B" w14:paraId="7576C51E" w14:textId="77777777" w:rsidTr="008A250B">
        <w:trPr>
          <w:gridAfter w:val="1"/>
          <w:wAfter w:w="1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C359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WHO (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wasting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0359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z-scores (SD) below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median WFH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5B42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Moderate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Severe</w:t>
            </w:r>
            <w:proofErr w:type="spellEnd"/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91FF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-3%&lt;/= z-score &lt; -2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z-score &lt; -3</w:t>
            </w:r>
          </w:p>
        </w:tc>
      </w:tr>
      <w:tr w:rsidR="008A250B" w:rsidRPr="008A250B" w14:paraId="614DF5A2" w14:textId="77777777" w:rsidTr="008A250B">
        <w:trPr>
          <w:gridAfter w:val="1"/>
          <w:wAfter w:w="1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0CCD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WHO (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stunting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90CE1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z-scores (SD) below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median HFA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0FF8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Moderate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Severe</w:t>
            </w:r>
            <w:proofErr w:type="spellEnd"/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7D3A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-3%&lt;/= z-score &lt; -2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z-score &lt; -3</w:t>
            </w:r>
          </w:p>
        </w:tc>
      </w:tr>
      <w:tr w:rsidR="008A250B" w:rsidRPr="008A250B" w14:paraId="2433E290" w14:textId="77777777" w:rsidTr="008A250B">
        <w:trPr>
          <w:gridAfter w:val="1"/>
          <w:wAfter w:w="1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2058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Kanawati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974D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MUAC divided by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occipitofrontal head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circumference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3BD0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Mild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Moderate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Severe</w:t>
            </w:r>
            <w:proofErr w:type="spellEnd"/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8868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&lt;0.31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&lt;0.28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&lt;0.25</w:t>
            </w:r>
          </w:p>
        </w:tc>
      </w:tr>
      <w:tr w:rsidR="008A250B" w:rsidRPr="008A250B" w14:paraId="195DE970" w14:textId="77777777" w:rsidTr="008A250B">
        <w:trPr>
          <w:gridAfter w:val="1"/>
          <w:wAfter w:w="1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6D8D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9FC0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z-scores of BMI for age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6763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Grade 1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Grade 2</w:t>
            </w: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br/>
              <w:t>Grade 3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043F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BMI for age z-score &lt; -1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BMI for age z-score &lt; -2</w:t>
            </w: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BMI for age z-score &lt; -3</w:t>
            </w:r>
          </w:p>
        </w:tc>
      </w:tr>
    </w:tbl>
    <w:p w14:paraId="42D12D9A" w14:textId="42EEEC55" w:rsidR="008A250B" w:rsidRPr="008A250B" w:rsidRDefault="008A250B" w:rsidP="008A250B">
      <w:pPr>
        <w:shd w:val="clear" w:color="auto" w:fill="FFFFFF"/>
        <w:spacing w:after="100" w:afterAutospacing="1"/>
        <w:ind w:left="-709" w:right="-709"/>
        <w:rPr>
          <w:rFonts w:ascii="Segoe UI" w:eastAsia="Times New Roman" w:hAnsi="Segoe UI" w:cs="Segoe UI"/>
          <w:color w:val="212529"/>
          <w:lang w:val="en-US" w:eastAsia="fr-FR"/>
        </w:rPr>
      </w:pPr>
      <w:r w:rsidRPr="008A250B">
        <w:rPr>
          <w:rFonts w:ascii="Segoe UI" w:eastAsia="Times New Roman" w:hAnsi="Segoe UI" w:cs="Segoe UI"/>
          <w:i/>
          <w:iCs/>
          <w:color w:val="212529"/>
          <w:lang w:val="en-US" w:eastAsia="fr-FR"/>
        </w:rPr>
        <w:t>Abbreviations: BMI, body mass index; HFA, height for age; MUAC, mid-upper arm circumference; SD, standard deviation; WFA, weight for age; WFH, weight for height; WHO, World Health Organization.</w:t>
      </w:r>
      <w:r w:rsidRPr="008A250B">
        <w:rPr>
          <w:rFonts w:ascii="Segoe UI" w:eastAsia="Times New Roman" w:hAnsi="Segoe UI" w:cs="Segoe UI"/>
          <w:color w:val="212529"/>
          <w:lang w:val="en-US" w:eastAsia="fr-FR"/>
        </w:rPr>
        <w:br/>
      </w:r>
      <w:r w:rsidRPr="008A250B">
        <w:rPr>
          <w:rFonts w:ascii="Segoe UI" w:eastAsia="Times New Roman" w:hAnsi="Segoe UI" w:cs="Segoe UI"/>
          <w:color w:val="212529"/>
          <w:lang w:val="en-US" w:eastAsia="fr-FR"/>
        </w:rPr>
        <w:br/>
      </w:r>
      <w:r w:rsidRPr="008A250B">
        <w:rPr>
          <w:rFonts w:ascii="Segoe UI" w:eastAsia="Times New Roman" w:hAnsi="Segoe UI" w:cs="Segoe UI"/>
          <w:b/>
          <w:bCs/>
          <w:color w:val="212529"/>
          <w:lang w:val="en-US" w:eastAsia="fr-FR"/>
        </w:rPr>
        <w:t>Gomez Classification:</w:t>
      </w:r>
      <w:r w:rsidRPr="008A250B">
        <w:rPr>
          <w:rFonts w:ascii="Segoe UI" w:eastAsia="Times New Roman" w:hAnsi="Segoe UI" w:cs="Segoe UI"/>
          <w:color w:val="212529"/>
          <w:lang w:val="en-US" w:eastAsia="fr-FR"/>
        </w:rPr>
        <w:t> The child’s weight is compared to that of a normal child (50th percentile) of the same age. It is useful for population screening and public health evaluations.</w:t>
      </w:r>
    </w:p>
    <w:p w14:paraId="1E0718CC" w14:textId="77777777" w:rsidR="008A250B" w:rsidRDefault="008A250B" w:rsidP="008A25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-567"/>
        <w:rPr>
          <w:rFonts w:ascii="Segoe UI" w:eastAsia="Times New Roman" w:hAnsi="Segoe UI" w:cs="Segoe UI"/>
          <w:color w:val="212529"/>
          <w:lang w:val="en-US" w:eastAsia="fr-FR"/>
        </w:rPr>
      </w:pPr>
      <w:r w:rsidRPr="008A250B">
        <w:rPr>
          <w:rFonts w:ascii="Segoe UI" w:eastAsia="Times New Roman" w:hAnsi="Segoe UI" w:cs="Segoe UI"/>
          <w:color w:val="212529"/>
          <w:lang w:val="en-US" w:eastAsia="fr-FR"/>
        </w:rPr>
        <w:t>Percent of reference weight for age = [(patient weight) / (weight of normal child of same age)] * 100</w:t>
      </w:r>
    </w:p>
    <w:p w14:paraId="438242B3" w14:textId="1E0AC3D2" w:rsidR="008A250B" w:rsidRPr="008A250B" w:rsidRDefault="008A250B" w:rsidP="008A250B">
      <w:pPr>
        <w:shd w:val="clear" w:color="auto" w:fill="FFFFFF"/>
        <w:spacing w:before="100" w:beforeAutospacing="1" w:after="100" w:afterAutospacing="1"/>
        <w:ind w:left="-709" w:right="-709"/>
        <w:rPr>
          <w:rFonts w:ascii="Segoe UI" w:eastAsia="Times New Roman" w:hAnsi="Segoe UI" w:cs="Segoe UI"/>
          <w:color w:val="212529"/>
          <w:lang w:val="en-US" w:eastAsia="fr-FR"/>
        </w:rPr>
      </w:pPr>
      <w:proofErr w:type="spellStart"/>
      <w:r w:rsidRPr="008A250B">
        <w:rPr>
          <w:rFonts w:ascii="Segoe UI" w:eastAsia="Times New Roman" w:hAnsi="Segoe UI" w:cs="Segoe UI"/>
          <w:b/>
          <w:bCs/>
          <w:color w:val="212529"/>
          <w:lang w:val="en-US" w:eastAsia="fr-FR"/>
        </w:rPr>
        <w:t>Waterlow</w:t>
      </w:r>
      <w:proofErr w:type="spellEnd"/>
      <w:r w:rsidRPr="008A250B">
        <w:rPr>
          <w:rFonts w:ascii="Segoe UI" w:eastAsia="Times New Roman" w:hAnsi="Segoe UI" w:cs="Segoe UI"/>
          <w:b/>
          <w:bCs/>
          <w:color w:val="212529"/>
          <w:lang w:val="en-US" w:eastAsia="fr-FR"/>
        </w:rPr>
        <w:t xml:space="preserve"> Classification:</w:t>
      </w:r>
      <w:r w:rsidRPr="008A250B">
        <w:rPr>
          <w:rFonts w:ascii="Segoe UI" w:eastAsia="Times New Roman" w:hAnsi="Segoe UI" w:cs="Segoe UI"/>
          <w:color w:val="212529"/>
          <w:lang w:val="en-US" w:eastAsia="fr-FR"/>
        </w:rPr>
        <w:t> Chronic malnutrition results in stunting.  Malnutrition also affects the child’s body proportions eventually resulting in body wastage.</w:t>
      </w:r>
    </w:p>
    <w:p w14:paraId="7745B327" w14:textId="77777777" w:rsidR="008A250B" w:rsidRPr="008A250B" w:rsidRDefault="008A250B" w:rsidP="008A2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992"/>
        <w:rPr>
          <w:rFonts w:ascii="Segoe UI" w:eastAsia="Times New Roman" w:hAnsi="Segoe UI" w:cs="Segoe UI"/>
          <w:color w:val="212529"/>
          <w:lang w:val="en-US" w:eastAsia="fr-FR"/>
        </w:rPr>
      </w:pPr>
      <w:r w:rsidRPr="008A250B">
        <w:rPr>
          <w:rFonts w:ascii="Segoe UI" w:eastAsia="Times New Roman" w:hAnsi="Segoe UI" w:cs="Segoe UI"/>
          <w:color w:val="212529"/>
          <w:lang w:val="en-US" w:eastAsia="fr-FR"/>
        </w:rPr>
        <w:t>Percent weight for height = [(weight of patient) / (weight of a normal child of the same height)] * 100</w:t>
      </w:r>
    </w:p>
    <w:p w14:paraId="12ED3D11" w14:textId="6BFEF643" w:rsidR="005E15F2" w:rsidRDefault="008A250B" w:rsidP="008A25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992"/>
        <w:rPr>
          <w:rFonts w:ascii="Segoe UI" w:eastAsia="Times New Roman" w:hAnsi="Segoe UI" w:cs="Segoe UI"/>
          <w:color w:val="212529"/>
          <w:lang w:val="en-US" w:eastAsia="fr-FR"/>
        </w:rPr>
      </w:pPr>
      <w:r w:rsidRPr="008A250B">
        <w:rPr>
          <w:rFonts w:ascii="Segoe UI" w:eastAsia="Times New Roman" w:hAnsi="Segoe UI" w:cs="Segoe UI"/>
          <w:color w:val="212529"/>
          <w:lang w:val="en-US" w:eastAsia="fr-FR"/>
        </w:rPr>
        <w:t>Percent height for age = [(height of patient) / (height of a normal child of the same age)] * 100</w:t>
      </w:r>
    </w:p>
    <w:p w14:paraId="2F3A5D14" w14:textId="6D11A21A" w:rsidR="005E15F2" w:rsidRDefault="005E15F2" w:rsidP="005E15F2">
      <w:pPr>
        <w:shd w:val="clear" w:color="auto" w:fill="FFFFFF"/>
        <w:spacing w:before="100" w:beforeAutospacing="1" w:after="100" w:afterAutospacing="1"/>
        <w:ind w:left="720" w:right="992"/>
        <w:rPr>
          <w:rFonts w:ascii="Segoe UI" w:eastAsia="Times New Roman" w:hAnsi="Segoe UI" w:cs="Segoe UI"/>
          <w:color w:val="212529"/>
          <w:lang w:val="en-US" w:eastAsia="fr-FR"/>
        </w:rPr>
      </w:pPr>
    </w:p>
    <w:p w14:paraId="5884B77B" w14:textId="767FC338" w:rsidR="005E15F2" w:rsidRDefault="005E15F2" w:rsidP="005E15F2">
      <w:pPr>
        <w:shd w:val="clear" w:color="auto" w:fill="FFFFFF"/>
        <w:spacing w:before="100" w:beforeAutospacing="1" w:after="100" w:afterAutospacing="1"/>
        <w:ind w:left="720" w:right="992"/>
        <w:rPr>
          <w:rFonts w:ascii="Segoe UI" w:eastAsia="Times New Roman" w:hAnsi="Segoe UI" w:cs="Segoe UI"/>
          <w:color w:val="212529"/>
          <w:lang w:val="en-US" w:eastAsia="fr-FR"/>
        </w:rPr>
      </w:pPr>
    </w:p>
    <w:p w14:paraId="1E713DDF" w14:textId="795F57AB" w:rsidR="005E15F2" w:rsidRDefault="005E15F2" w:rsidP="005E15F2">
      <w:pPr>
        <w:shd w:val="clear" w:color="auto" w:fill="FFFFFF"/>
        <w:spacing w:before="100" w:beforeAutospacing="1" w:after="100" w:afterAutospacing="1"/>
        <w:ind w:left="720" w:right="992"/>
        <w:rPr>
          <w:rFonts w:ascii="Segoe UI" w:eastAsia="Times New Roman" w:hAnsi="Segoe UI" w:cs="Segoe UI"/>
          <w:color w:val="212529"/>
          <w:lang w:val="en-US" w:eastAsia="fr-FR"/>
        </w:rPr>
      </w:pPr>
    </w:p>
    <w:p w14:paraId="59B33C25" w14:textId="4C174F8D" w:rsidR="005E15F2" w:rsidRDefault="005E15F2" w:rsidP="005E15F2">
      <w:pPr>
        <w:shd w:val="clear" w:color="auto" w:fill="FFFFFF"/>
        <w:spacing w:before="100" w:beforeAutospacing="1" w:after="100" w:afterAutospacing="1"/>
        <w:ind w:left="720" w:right="992"/>
        <w:rPr>
          <w:rFonts w:ascii="Segoe UI" w:eastAsia="Times New Roman" w:hAnsi="Segoe UI" w:cs="Segoe UI"/>
          <w:color w:val="212529"/>
          <w:lang w:val="en-US" w:eastAsia="fr-FR"/>
        </w:rPr>
      </w:pPr>
    </w:p>
    <w:p w14:paraId="3553B495" w14:textId="77777777" w:rsidR="005E15F2" w:rsidRPr="005E15F2" w:rsidRDefault="005E15F2" w:rsidP="005E15F2">
      <w:pPr>
        <w:shd w:val="clear" w:color="auto" w:fill="FFFFFF"/>
        <w:spacing w:before="100" w:beforeAutospacing="1" w:after="100" w:afterAutospacing="1"/>
        <w:ind w:left="720" w:right="992"/>
        <w:rPr>
          <w:rFonts w:ascii="Segoe UI" w:eastAsia="Times New Roman" w:hAnsi="Segoe UI" w:cs="Segoe UI"/>
          <w:color w:val="212529"/>
          <w:lang w:val="en-US" w:eastAsia="fr-FR"/>
        </w:rPr>
      </w:pPr>
    </w:p>
    <w:p w14:paraId="62744D65" w14:textId="1A7E90E8" w:rsidR="008A250B" w:rsidRPr="008A250B" w:rsidRDefault="008A250B" w:rsidP="008A250B">
      <w:pPr>
        <w:shd w:val="clear" w:color="auto" w:fill="FFFFFF"/>
        <w:spacing w:after="100" w:afterAutospacing="1"/>
        <w:ind w:right="992"/>
        <w:jc w:val="center"/>
        <w:rPr>
          <w:rFonts w:ascii="Segoe UI" w:eastAsia="Times New Roman" w:hAnsi="Segoe UI" w:cs="Segoe UI"/>
          <w:color w:val="212529"/>
          <w:lang w:val="en-US" w:eastAsia="fr-FR"/>
        </w:rPr>
      </w:pPr>
      <w:r w:rsidRPr="008A250B">
        <w:rPr>
          <w:rFonts w:ascii="Segoe UI" w:eastAsia="Times New Roman" w:hAnsi="Segoe UI" w:cs="Segoe UI"/>
          <w:b/>
          <w:bCs/>
          <w:color w:val="212529"/>
          <w:lang w:val="en-US" w:eastAsia="fr-FR"/>
        </w:rPr>
        <w:lastRenderedPageBreak/>
        <w:t>CLASSIFICATION OF MALNUTRITION IN CHILDREN</w:t>
      </w:r>
    </w:p>
    <w:tbl>
      <w:tblPr>
        <w:tblW w:w="1044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2236"/>
        <w:gridCol w:w="2236"/>
        <w:gridCol w:w="2511"/>
      </w:tblGrid>
      <w:tr w:rsidR="008A250B" w:rsidRPr="008A250B" w14:paraId="44FCACD2" w14:textId="77777777" w:rsidTr="008A250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0EEF" w14:textId="77777777" w:rsidR="008A250B" w:rsidRPr="008A250B" w:rsidRDefault="008A250B" w:rsidP="008A250B">
            <w:pPr>
              <w:ind w:right="992"/>
              <w:rPr>
                <w:rFonts w:ascii="Segoe UI" w:eastAsia="Times New Roman" w:hAnsi="Segoe UI" w:cs="Segoe UI"/>
                <w:color w:val="212529"/>
                <w:lang w:val="en-US" w:eastAsia="fr-FR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A83D" w14:textId="77777777" w:rsidR="008A250B" w:rsidRPr="008A250B" w:rsidRDefault="008A250B" w:rsidP="008A250B">
            <w:pPr>
              <w:ind w:right="156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Mild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 xml:space="preserve"> Malnutrition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F598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  <w:t>Moderate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  <w:t xml:space="preserve"> Malnutrition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7BFE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red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Severe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 xml:space="preserve"> Malnutrition</w:t>
            </w:r>
          </w:p>
        </w:tc>
      </w:tr>
      <w:tr w:rsidR="008A250B" w:rsidRPr="008A250B" w14:paraId="0B6BBD66" w14:textId="77777777" w:rsidTr="008A250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BD32" w14:textId="77777777" w:rsidR="008A250B" w:rsidRPr="008A250B" w:rsidRDefault="008A250B" w:rsidP="008A250B">
            <w:pPr>
              <w:ind w:right="327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Percent 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Ideal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Body 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Weight</w:t>
            </w:r>
            <w:proofErr w:type="spellEnd"/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CF6E4" w14:textId="77777777" w:rsidR="008A250B" w:rsidRPr="008A250B" w:rsidRDefault="008A250B" w:rsidP="005E15F2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80-90%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467E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  <w:t>70-79%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3C6B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red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&lt; 70%</w:t>
            </w:r>
          </w:p>
        </w:tc>
      </w:tr>
      <w:tr w:rsidR="008A250B" w:rsidRPr="008A250B" w14:paraId="68599528" w14:textId="77777777" w:rsidTr="008A250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B471" w14:textId="77777777" w:rsidR="008A250B" w:rsidRPr="008A250B" w:rsidRDefault="008A250B" w:rsidP="008A250B">
            <w:pPr>
              <w:ind w:right="43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Percent of Usual Body Weight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2A58" w14:textId="77777777" w:rsidR="008A250B" w:rsidRPr="008A250B" w:rsidRDefault="008A250B" w:rsidP="005E15F2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90-95%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3CE6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  <w:t>80-89%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0F9C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red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&lt; 80%</w:t>
            </w:r>
          </w:p>
        </w:tc>
      </w:tr>
      <w:tr w:rsidR="008A250B" w:rsidRPr="008A250B" w14:paraId="1C07BA90" w14:textId="77777777" w:rsidTr="008A250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164B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Albumin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(g/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dL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1143" w14:textId="77777777" w:rsidR="008A250B" w:rsidRPr="008A250B" w:rsidRDefault="008A250B" w:rsidP="005E15F2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2.8-3.4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2542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  <w:t>2.1-2.7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940CD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red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&lt; 2.1</w:t>
            </w:r>
          </w:p>
        </w:tc>
      </w:tr>
      <w:tr w:rsidR="008A250B" w:rsidRPr="008A250B" w14:paraId="2ACB8FBA" w14:textId="77777777" w:rsidTr="008A250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E1BA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Transferrin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(mg/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dL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9E5A" w14:textId="77777777" w:rsidR="008A250B" w:rsidRPr="008A250B" w:rsidRDefault="008A250B" w:rsidP="005E15F2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150 –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86E4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  <w:t>100 – 149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8209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red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&lt; 100</w:t>
            </w:r>
          </w:p>
        </w:tc>
      </w:tr>
      <w:tr w:rsidR="008A250B" w:rsidRPr="008A250B" w14:paraId="4385FE29" w14:textId="77777777" w:rsidTr="008A250B"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AC8F" w14:textId="77777777" w:rsidR="008A250B" w:rsidRPr="008A250B" w:rsidRDefault="008A250B" w:rsidP="008A250B">
            <w:pPr>
              <w:ind w:right="-98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val="en-US" w:eastAsia="fr-FR"/>
              </w:rPr>
              <w:t>Total Lymphocyte Count (per µL)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C98F" w14:textId="77777777" w:rsidR="008A250B" w:rsidRPr="008A250B" w:rsidRDefault="008A250B" w:rsidP="005E15F2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1200 –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64419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magenta"/>
                <w:lang w:eastAsia="fr-FR"/>
              </w:rPr>
              <w:t>800 – 1199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420F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highlight w:val="red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highlight w:val="red"/>
                <w:lang w:eastAsia="fr-FR"/>
              </w:rPr>
              <w:t>&lt; 800</w:t>
            </w:r>
          </w:p>
        </w:tc>
      </w:tr>
    </w:tbl>
    <w:p w14:paraId="06743407" w14:textId="0F63EF84" w:rsidR="008A250B" w:rsidRPr="008A250B" w:rsidRDefault="008A250B" w:rsidP="005E15F2">
      <w:pPr>
        <w:shd w:val="clear" w:color="auto" w:fill="FFFFFF"/>
        <w:spacing w:after="100" w:afterAutospacing="1"/>
        <w:ind w:left="-709" w:right="-993"/>
        <w:rPr>
          <w:rFonts w:ascii="Segoe UI" w:eastAsia="Times New Roman" w:hAnsi="Segoe UI" w:cs="Segoe UI"/>
          <w:color w:val="212529"/>
          <w:lang w:val="en-US" w:eastAsia="fr-FR"/>
        </w:rPr>
      </w:pPr>
      <w:r w:rsidRPr="008A250B">
        <w:rPr>
          <w:rFonts w:ascii="Segoe UI" w:eastAsia="Times New Roman" w:hAnsi="Segoe UI" w:cs="Segoe UI"/>
          <w:color w:val="212529"/>
          <w:lang w:val="en-US" w:eastAsia="fr-FR"/>
        </w:rPr>
        <w:br/>
      </w:r>
      <w:r w:rsidRPr="008A250B">
        <w:rPr>
          <w:rFonts w:ascii="Segoe UI" w:eastAsia="Times New Roman" w:hAnsi="Segoe UI" w:cs="Segoe UI"/>
          <w:color w:val="212529"/>
          <w:lang w:val="en-US" w:eastAsia="fr-FR"/>
        </w:rPr>
        <w:br/>
      </w:r>
      <w:proofErr w:type="spellStart"/>
      <w:r w:rsidRPr="008A250B">
        <w:rPr>
          <w:rFonts w:ascii="Segoe UI" w:eastAsia="Times New Roman" w:hAnsi="Segoe UI" w:cs="Segoe UI"/>
          <w:b/>
          <w:bCs/>
          <w:color w:val="212529"/>
          <w:lang w:val="en-US" w:eastAsia="fr-FR"/>
        </w:rPr>
        <w:t>Wellcome</w:t>
      </w:r>
      <w:proofErr w:type="spellEnd"/>
      <w:r w:rsidRPr="008A250B">
        <w:rPr>
          <w:rFonts w:ascii="Segoe UI" w:eastAsia="Times New Roman" w:hAnsi="Segoe UI" w:cs="Segoe UI"/>
          <w:b/>
          <w:bCs/>
          <w:color w:val="212529"/>
          <w:lang w:val="en-US" w:eastAsia="fr-FR"/>
        </w:rPr>
        <w:t xml:space="preserve"> </w:t>
      </w:r>
      <w:proofErr w:type="gramStart"/>
      <w:r w:rsidRPr="008A250B">
        <w:rPr>
          <w:rFonts w:ascii="Segoe UI" w:eastAsia="Times New Roman" w:hAnsi="Segoe UI" w:cs="Segoe UI"/>
          <w:b/>
          <w:bCs/>
          <w:color w:val="212529"/>
          <w:lang w:val="en-US" w:eastAsia="fr-FR"/>
        </w:rPr>
        <w:t>Classification:</w:t>
      </w:r>
      <w:proofErr w:type="gramEnd"/>
      <w:r w:rsidRPr="008A250B">
        <w:rPr>
          <w:rFonts w:ascii="Segoe UI" w:eastAsia="Times New Roman" w:hAnsi="Segoe UI" w:cs="Segoe UI"/>
          <w:color w:val="212529"/>
          <w:lang w:val="en-US" w:eastAsia="fr-FR"/>
        </w:rPr>
        <w:t> evaluates the child for edema and with the Gomez classification system.</w:t>
      </w:r>
    </w:p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3575"/>
        <w:gridCol w:w="3113"/>
      </w:tblGrid>
      <w:tr w:rsidR="008A250B" w:rsidRPr="008A250B" w14:paraId="7C4C74E5" w14:textId="77777777" w:rsidTr="008A250B"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AECF" w14:textId="77777777" w:rsidR="008A250B" w:rsidRPr="008A250B" w:rsidRDefault="008A250B" w:rsidP="008A250B">
            <w:pPr>
              <w:ind w:right="992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Weight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for Age (Gomez)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12DE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With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Edema</w:t>
            </w:r>
            <w:proofErr w:type="spellEnd"/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960E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Without</w:t>
            </w:r>
            <w:proofErr w:type="spell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Edema</w:t>
            </w:r>
            <w:proofErr w:type="spellEnd"/>
          </w:p>
        </w:tc>
      </w:tr>
      <w:tr w:rsidR="008A250B" w:rsidRPr="008A250B" w14:paraId="75DEDBA1" w14:textId="77777777" w:rsidTr="008A250B"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D5EEB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60-80%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1C3D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kwashiorkor</w:t>
            </w:r>
            <w:proofErr w:type="gramEnd"/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12D8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undernutrition</w:t>
            </w:r>
            <w:proofErr w:type="spellEnd"/>
            <w:proofErr w:type="gramEnd"/>
          </w:p>
        </w:tc>
      </w:tr>
      <w:tr w:rsidR="008A250B" w:rsidRPr="008A250B" w14:paraId="151B2075" w14:textId="77777777" w:rsidTr="008A250B"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B6AA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&lt; 60%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3EF1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marasmic</w:t>
            </w:r>
            <w:proofErr w:type="spellEnd"/>
            <w:proofErr w:type="gramEnd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-kwashiorkor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A3AD" w14:textId="77777777" w:rsidR="008A250B" w:rsidRPr="008A250B" w:rsidRDefault="008A250B" w:rsidP="008A250B">
            <w:pPr>
              <w:ind w:right="99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8A250B">
              <w:rPr>
                <w:rFonts w:ascii="Times New Roman" w:eastAsia="Times New Roman" w:hAnsi="Times New Roman" w:cs="Times New Roman"/>
                <w:lang w:eastAsia="fr-FR"/>
              </w:rPr>
              <w:t>marasmus</w:t>
            </w:r>
            <w:proofErr w:type="spellEnd"/>
            <w:proofErr w:type="gramEnd"/>
          </w:p>
        </w:tc>
      </w:tr>
    </w:tbl>
    <w:p w14:paraId="4CB8DE9A" w14:textId="77777777" w:rsidR="008A250B" w:rsidRPr="008A250B" w:rsidRDefault="008A250B" w:rsidP="008A250B">
      <w:pPr>
        <w:shd w:val="clear" w:color="auto" w:fill="FFFFFF"/>
        <w:spacing w:after="100" w:afterAutospacing="1"/>
        <w:ind w:right="992"/>
        <w:rPr>
          <w:rFonts w:ascii="Segoe UI" w:eastAsia="Times New Roman" w:hAnsi="Segoe UI" w:cs="Segoe UI"/>
          <w:color w:val="212529"/>
          <w:lang w:eastAsia="fr-FR"/>
        </w:rPr>
      </w:pPr>
      <w:r w:rsidRPr="008A250B">
        <w:rPr>
          <w:rFonts w:ascii="Segoe UI" w:eastAsia="Times New Roman" w:hAnsi="Segoe UI" w:cs="Segoe UI"/>
          <w:color w:val="212529"/>
          <w:lang w:eastAsia="fr-FR"/>
        </w:rPr>
        <w:t> </w:t>
      </w:r>
    </w:p>
    <w:p w14:paraId="28470E1F" w14:textId="77777777" w:rsidR="008A250B" w:rsidRPr="008A250B" w:rsidRDefault="008A250B" w:rsidP="008A250B">
      <w:pPr>
        <w:shd w:val="clear" w:color="auto" w:fill="FFFFFF"/>
        <w:spacing w:after="100" w:afterAutospacing="1"/>
        <w:ind w:right="992"/>
        <w:rPr>
          <w:rFonts w:ascii="Segoe UI" w:eastAsia="Times New Roman" w:hAnsi="Segoe UI" w:cs="Segoe UI"/>
          <w:color w:val="212529"/>
          <w:lang w:eastAsia="fr-FR"/>
        </w:rPr>
      </w:pPr>
      <w:proofErr w:type="spellStart"/>
      <w:proofErr w:type="gramStart"/>
      <w:r w:rsidRPr="008A250B">
        <w:rPr>
          <w:rFonts w:ascii="Segoe UI" w:eastAsia="Times New Roman" w:hAnsi="Segoe UI" w:cs="Segoe UI"/>
          <w:b/>
          <w:bCs/>
          <w:color w:val="212529"/>
          <w:lang w:eastAsia="fr-FR"/>
        </w:rPr>
        <w:t>References</w:t>
      </w:r>
      <w:proofErr w:type="spellEnd"/>
      <w:r w:rsidRPr="008A250B">
        <w:rPr>
          <w:rFonts w:ascii="Segoe UI" w:eastAsia="Times New Roman" w:hAnsi="Segoe UI" w:cs="Segoe UI"/>
          <w:b/>
          <w:bCs/>
          <w:color w:val="212529"/>
          <w:lang w:eastAsia="fr-FR"/>
        </w:rPr>
        <w:t>:</w:t>
      </w:r>
      <w:proofErr w:type="gramEnd"/>
    </w:p>
    <w:p w14:paraId="48F59699" w14:textId="77777777" w:rsidR="008A250B" w:rsidRPr="008A250B" w:rsidRDefault="008A250B" w:rsidP="008A25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426"/>
        <w:rPr>
          <w:rFonts w:ascii="Segoe UI" w:eastAsia="Times New Roman" w:hAnsi="Segoe UI" w:cs="Segoe UI"/>
          <w:color w:val="212529"/>
          <w:lang w:eastAsia="fr-FR"/>
        </w:rPr>
      </w:pPr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Gomez F, Galvan RR, </w:t>
      </w:r>
      <w:proofErr w:type="spellStart"/>
      <w:r w:rsidRPr="008A250B">
        <w:rPr>
          <w:rFonts w:ascii="Segoe UI" w:eastAsia="Times New Roman" w:hAnsi="Segoe UI" w:cs="Segoe UI"/>
          <w:color w:val="212529"/>
          <w:lang w:val="en-US" w:eastAsia="fr-FR"/>
        </w:rPr>
        <w:t>Cravioto</w:t>
      </w:r>
      <w:proofErr w:type="spellEnd"/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 J, </w:t>
      </w:r>
      <w:proofErr w:type="spellStart"/>
      <w:r w:rsidRPr="008A250B">
        <w:rPr>
          <w:rFonts w:ascii="Segoe UI" w:eastAsia="Times New Roman" w:hAnsi="Segoe UI" w:cs="Segoe UI"/>
          <w:color w:val="212529"/>
          <w:lang w:val="en-US" w:eastAsia="fr-FR"/>
        </w:rPr>
        <w:t>Frenk</w:t>
      </w:r>
      <w:proofErr w:type="spellEnd"/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 S. Malnutrition in infancy and childhood, with special reference to kwashiorkor. </w:t>
      </w:r>
      <w:proofErr w:type="spellStart"/>
      <w:r w:rsidRPr="008A250B">
        <w:rPr>
          <w:rFonts w:ascii="Segoe UI" w:eastAsia="Times New Roman" w:hAnsi="Segoe UI" w:cs="Segoe UI"/>
          <w:color w:val="212529"/>
          <w:lang w:eastAsia="fr-FR"/>
        </w:rPr>
        <w:t>Adv</w:t>
      </w:r>
      <w:proofErr w:type="spellEnd"/>
      <w:r w:rsidRPr="008A250B">
        <w:rPr>
          <w:rFonts w:ascii="Segoe UI" w:eastAsia="Times New Roman" w:hAnsi="Segoe UI" w:cs="Segoe UI"/>
          <w:color w:val="212529"/>
          <w:lang w:eastAsia="fr-FR"/>
        </w:rPr>
        <w:t xml:space="preserve"> </w:t>
      </w:r>
      <w:proofErr w:type="spellStart"/>
      <w:r w:rsidRPr="008A250B">
        <w:rPr>
          <w:rFonts w:ascii="Segoe UI" w:eastAsia="Times New Roman" w:hAnsi="Segoe UI" w:cs="Segoe UI"/>
          <w:color w:val="212529"/>
          <w:lang w:eastAsia="fr-FR"/>
        </w:rPr>
        <w:t>Pediatr</w:t>
      </w:r>
      <w:proofErr w:type="spellEnd"/>
      <w:r w:rsidRPr="008A250B">
        <w:rPr>
          <w:rFonts w:ascii="Segoe UI" w:eastAsia="Times New Roman" w:hAnsi="Segoe UI" w:cs="Segoe UI"/>
          <w:color w:val="212529"/>
          <w:lang w:eastAsia="fr-FR"/>
        </w:rPr>
        <w:t xml:space="preserve">. </w:t>
      </w:r>
      <w:proofErr w:type="gramStart"/>
      <w:r w:rsidRPr="008A250B">
        <w:rPr>
          <w:rFonts w:ascii="Segoe UI" w:eastAsia="Times New Roman" w:hAnsi="Segoe UI" w:cs="Segoe UI"/>
          <w:color w:val="212529"/>
          <w:lang w:eastAsia="fr-FR"/>
        </w:rPr>
        <w:t>1955;</w:t>
      </w:r>
      <w:proofErr w:type="gramEnd"/>
      <w:r w:rsidRPr="008A250B">
        <w:rPr>
          <w:rFonts w:ascii="Segoe UI" w:eastAsia="Times New Roman" w:hAnsi="Segoe UI" w:cs="Segoe UI"/>
          <w:color w:val="212529"/>
          <w:lang w:eastAsia="fr-FR"/>
        </w:rPr>
        <w:t>7:131–169. </w:t>
      </w:r>
      <w:hyperlink r:id="rId5" w:tgtFrame="_blank" w:history="1"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[</w:t>
        </w:r>
        <w:proofErr w:type="spellStart"/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Medline</w:t>
        </w:r>
        <w:proofErr w:type="spellEnd"/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]</w:t>
        </w:r>
      </w:hyperlink>
    </w:p>
    <w:p w14:paraId="109F5589" w14:textId="77777777" w:rsidR="008A250B" w:rsidRPr="008A250B" w:rsidRDefault="008A250B" w:rsidP="008A25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426"/>
        <w:rPr>
          <w:rFonts w:ascii="Segoe UI" w:eastAsia="Times New Roman" w:hAnsi="Segoe UI" w:cs="Segoe UI"/>
          <w:color w:val="212529"/>
          <w:lang w:eastAsia="fr-FR"/>
        </w:rPr>
      </w:pPr>
      <w:proofErr w:type="spellStart"/>
      <w:r w:rsidRPr="008A250B">
        <w:rPr>
          <w:rFonts w:ascii="Segoe UI" w:eastAsia="Times New Roman" w:hAnsi="Segoe UI" w:cs="Segoe UI"/>
          <w:color w:val="212529"/>
          <w:lang w:val="en-US" w:eastAsia="fr-FR"/>
        </w:rPr>
        <w:t>Waterlow</w:t>
      </w:r>
      <w:proofErr w:type="spellEnd"/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 JC. Classification and definition of protein-calorie malnutrition. Br Med J. 1972 Sep 2;3(5826):566-9. </w:t>
      </w:r>
      <w:hyperlink r:id="rId6" w:tgtFrame="_blank" w:history="1"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[</w:t>
        </w:r>
        <w:proofErr w:type="spellStart"/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Medline</w:t>
        </w:r>
        <w:proofErr w:type="spellEnd"/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]</w:t>
        </w:r>
      </w:hyperlink>
    </w:p>
    <w:p w14:paraId="4BA1161A" w14:textId="77777777" w:rsidR="008A250B" w:rsidRPr="008A250B" w:rsidRDefault="008A250B" w:rsidP="008A25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426"/>
        <w:rPr>
          <w:rFonts w:ascii="Segoe UI" w:eastAsia="Times New Roman" w:hAnsi="Segoe UI" w:cs="Segoe UI"/>
          <w:color w:val="212529"/>
          <w:lang w:eastAsia="fr-FR"/>
        </w:rPr>
      </w:pPr>
      <w:proofErr w:type="spellStart"/>
      <w:r w:rsidRPr="008A250B">
        <w:rPr>
          <w:rFonts w:ascii="Segoe UI" w:eastAsia="Times New Roman" w:hAnsi="Segoe UI" w:cs="Segoe UI"/>
          <w:color w:val="212529"/>
          <w:lang w:val="en-US" w:eastAsia="fr-FR"/>
        </w:rPr>
        <w:t>Waterlow</w:t>
      </w:r>
      <w:proofErr w:type="spellEnd"/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 JC, </w:t>
      </w:r>
      <w:proofErr w:type="spellStart"/>
      <w:r w:rsidRPr="008A250B">
        <w:rPr>
          <w:rFonts w:ascii="Segoe UI" w:eastAsia="Times New Roman" w:hAnsi="Segoe UI" w:cs="Segoe UI"/>
          <w:color w:val="212529"/>
          <w:lang w:val="en-US" w:eastAsia="fr-FR"/>
        </w:rPr>
        <w:t>Buzina</w:t>
      </w:r>
      <w:proofErr w:type="spellEnd"/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 R, Keller W, Lane JM, </w:t>
      </w:r>
      <w:proofErr w:type="spellStart"/>
      <w:r w:rsidRPr="008A250B">
        <w:rPr>
          <w:rFonts w:ascii="Segoe UI" w:eastAsia="Times New Roman" w:hAnsi="Segoe UI" w:cs="Segoe UI"/>
          <w:color w:val="212529"/>
          <w:lang w:val="en-US" w:eastAsia="fr-FR"/>
        </w:rPr>
        <w:t>Nichaman</w:t>
      </w:r>
      <w:proofErr w:type="spellEnd"/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 MZ, Tanner JM. The presentation and use of height and weight data for comparing the nutritional status of groups of children under the age of 10 years. </w:t>
      </w:r>
      <w:r w:rsidRPr="008A250B">
        <w:rPr>
          <w:rFonts w:ascii="Segoe UI" w:eastAsia="Times New Roman" w:hAnsi="Segoe UI" w:cs="Segoe UI"/>
          <w:color w:val="212529"/>
          <w:lang w:eastAsia="fr-FR"/>
        </w:rPr>
        <w:t xml:space="preserve">Bull World </w:t>
      </w:r>
      <w:proofErr w:type="spellStart"/>
      <w:r w:rsidRPr="008A250B">
        <w:rPr>
          <w:rFonts w:ascii="Segoe UI" w:eastAsia="Times New Roman" w:hAnsi="Segoe UI" w:cs="Segoe UI"/>
          <w:color w:val="212529"/>
          <w:lang w:eastAsia="fr-FR"/>
        </w:rPr>
        <w:t>Health</w:t>
      </w:r>
      <w:proofErr w:type="spellEnd"/>
      <w:r w:rsidRPr="008A250B">
        <w:rPr>
          <w:rFonts w:ascii="Segoe UI" w:eastAsia="Times New Roman" w:hAnsi="Segoe UI" w:cs="Segoe UI"/>
          <w:color w:val="212529"/>
          <w:lang w:eastAsia="fr-FR"/>
        </w:rPr>
        <w:t xml:space="preserve"> </w:t>
      </w:r>
      <w:proofErr w:type="spellStart"/>
      <w:r w:rsidRPr="008A250B">
        <w:rPr>
          <w:rFonts w:ascii="Segoe UI" w:eastAsia="Times New Roman" w:hAnsi="Segoe UI" w:cs="Segoe UI"/>
          <w:color w:val="212529"/>
          <w:lang w:eastAsia="fr-FR"/>
        </w:rPr>
        <w:t>Organ</w:t>
      </w:r>
      <w:proofErr w:type="spellEnd"/>
      <w:r w:rsidRPr="008A250B">
        <w:rPr>
          <w:rFonts w:ascii="Segoe UI" w:eastAsia="Times New Roman" w:hAnsi="Segoe UI" w:cs="Segoe UI"/>
          <w:color w:val="212529"/>
          <w:lang w:eastAsia="fr-FR"/>
        </w:rPr>
        <w:t xml:space="preserve">. </w:t>
      </w:r>
      <w:proofErr w:type="gramStart"/>
      <w:r w:rsidRPr="008A250B">
        <w:rPr>
          <w:rFonts w:ascii="Segoe UI" w:eastAsia="Times New Roman" w:hAnsi="Segoe UI" w:cs="Segoe UI"/>
          <w:color w:val="212529"/>
          <w:lang w:eastAsia="fr-FR"/>
        </w:rPr>
        <w:t>1977;</w:t>
      </w:r>
      <w:proofErr w:type="gramEnd"/>
      <w:r w:rsidRPr="008A250B">
        <w:rPr>
          <w:rFonts w:ascii="Segoe UI" w:eastAsia="Times New Roman" w:hAnsi="Segoe UI" w:cs="Segoe UI"/>
          <w:color w:val="212529"/>
          <w:lang w:eastAsia="fr-FR"/>
        </w:rPr>
        <w:t>55(4):489–498. </w:t>
      </w:r>
      <w:hyperlink r:id="rId7" w:tgtFrame="_blank" w:history="1"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[</w:t>
        </w:r>
        <w:proofErr w:type="spellStart"/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Medline</w:t>
        </w:r>
        <w:proofErr w:type="spellEnd"/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]</w:t>
        </w:r>
      </w:hyperlink>
    </w:p>
    <w:p w14:paraId="7DD9B929" w14:textId="77777777" w:rsidR="008A250B" w:rsidRPr="008A250B" w:rsidRDefault="008A250B" w:rsidP="008A25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426"/>
        <w:rPr>
          <w:rFonts w:ascii="Segoe UI" w:eastAsia="Times New Roman" w:hAnsi="Segoe UI" w:cs="Segoe UI"/>
          <w:color w:val="212529"/>
          <w:lang w:eastAsia="fr-FR"/>
        </w:rPr>
      </w:pPr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Grover Z, </w:t>
      </w:r>
      <w:proofErr w:type="spellStart"/>
      <w:r w:rsidRPr="008A250B">
        <w:rPr>
          <w:rFonts w:ascii="Segoe UI" w:eastAsia="Times New Roman" w:hAnsi="Segoe UI" w:cs="Segoe UI"/>
          <w:color w:val="212529"/>
          <w:lang w:val="en-US" w:eastAsia="fr-FR"/>
        </w:rPr>
        <w:t>Ee</w:t>
      </w:r>
      <w:proofErr w:type="spellEnd"/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 LC. Protein energy malnutrition. </w:t>
      </w:r>
      <w:proofErr w:type="spellStart"/>
      <w:r w:rsidRPr="008A250B">
        <w:rPr>
          <w:rFonts w:ascii="Segoe UI" w:eastAsia="Times New Roman" w:hAnsi="Segoe UI" w:cs="Segoe UI"/>
          <w:color w:val="212529"/>
          <w:lang w:val="en-US" w:eastAsia="fr-FR"/>
        </w:rPr>
        <w:t>Pediatr</w:t>
      </w:r>
      <w:proofErr w:type="spellEnd"/>
      <w:r w:rsidRPr="008A250B">
        <w:rPr>
          <w:rFonts w:ascii="Segoe UI" w:eastAsia="Times New Roman" w:hAnsi="Segoe UI" w:cs="Segoe UI"/>
          <w:color w:val="212529"/>
          <w:lang w:val="en-US" w:eastAsia="fr-FR"/>
        </w:rPr>
        <w:t xml:space="preserve"> Clin North Am. 2009 Oct;56(5):1055-68. </w:t>
      </w:r>
      <w:hyperlink r:id="rId8" w:tgtFrame="_blank" w:history="1"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[</w:t>
        </w:r>
        <w:proofErr w:type="spellStart"/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Medline</w:t>
        </w:r>
        <w:proofErr w:type="spellEnd"/>
        <w:r w:rsidRPr="008A250B">
          <w:rPr>
            <w:rFonts w:ascii="Segoe UI" w:eastAsia="Times New Roman" w:hAnsi="Segoe UI" w:cs="Segoe UI"/>
            <w:color w:val="007BFF"/>
            <w:u w:val="single"/>
            <w:lang w:eastAsia="fr-FR"/>
          </w:rPr>
          <w:t>]</w:t>
        </w:r>
      </w:hyperlink>
    </w:p>
    <w:p w14:paraId="24A1524E" w14:textId="77777777" w:rsidR="008A250B" w:rsidRPr="008A250B" w:rsidRDefault="008A250B" w:rsidP="008A25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426"/>
        <w:rPr>
          <w:rFonts w:ascii="Segoe UI" w:eastAsia="Times New Roman" w:hAnsi="Segoe UI" w:cs="Segoe UI"/>
          <w:color w:val="212529"/>
          <w:lang w:val="en-US" w:eastAsia="fr-FR"/>
        </w:rPr>
      </w:pPr>
      <w:r w:rsidRPr="008A250B">
        <w:rPr>
          <w:rFonts w:ascii="Segoe UI" w:eastAsia="Times New Roman" w:hAnsi="Segoe UI" w:cs="Segoe UI"/>
          <w:color w:val="212529"/>
          <w:lang w:val="en-US" w:eastAsia="fr-FR"/>
        </w:rPr>
        <w:t>Management of Severe Acute Malnutrition in Infants and Children </w:t>
      </w:r>
      <w:hyperlink r:id="rId9" w:tgtFrame="_blank" w:history="1">
        <w:r w:rsidRPr="008A250B">
          <w:rPr>
            <w:rFonts w:ascii="Segoe UI" w:eastAsia="Times New Roman" w:hAnsi="Segoe UI" w:cs="Segoe UI"/>
            <w:color w:val="007BFF"/>
            <w:u w:val="single"/>
            <w:lang w:val="en-US" w:eastAsia="fr-FR"/>
          </w:rPr>
          <w:t>[MedicalCriteria.com]</w:t>
        </w:r>
      </w:hyperlink>
    </w:p>
    <w:p w14:paraId="5BDF5047" w14:textId="77777777" w:rsidR="008A250B" w:rsidRPr="008A250B" w:rsidRDefault="008A250B" w:rsidP="008A250B">
      <w:pPr>
        <w:shd w:val="clear" w:color="auto" w:fill="FFFFFF"/>
        <w:spacing w:after="100" w:afterAutospacing="1"/>
        <w:ind w:right="992"/>
        <w:rPr>
          <w:rFonts w:ascii="Segoe UI" w:eastAsia="Times New Roman" w:hAnsi="Segoe UI" w:cs="Segoe UI"/>
          <w:color w:val="212529"/>
          <w:lang w:val="en-US" w:eastAsia="fr-FR"/>
        </w:rPr>
      </w:pPr>
      <w:r w:rsidRPr="008A250B">
        <w:rPr>
          <w:rFonts w:ascii="Segoe UI" w:eastAsia="Times New Roman" w:hAnsi="Segoe UI" w:cs="Segoe UI"/>
          <w:color w:val="212529"/>
          <w:lang w:val="en-US" w:eastAsia="fr-FR"/>
        </w:rPr>
        <w:t> </w:t>
      </w:r>
    </w:p>
    <w:p w14:paraId="21179ABF" w14:textId="77777777" w:rsidR="00743433" w:rsidRPr="008A250B" w:rsidRDefault="00743433" w:rsidP="008A250B">
      <w:pPr>
        <w:ind w:right="992"/>
        <w:rPr>
          <w:lang w:val="en-US"/>
        </w:rPr>
      </w:pPr>
    </w:p>
    <w:sectPr w:rsidR="00743433" w:rsidRPr="008A250B" w:rsidSect="005E15F2">
      <w:pgSz w:w="11906" w:h="16838"/>
      <w:pgMar w:top="255" w:right="1417" w:bottom="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1F0B"/>
    <w:multiLevelType w:val="multilevel"/>
    <w:tmpl w:val="283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7579B"/>
    <w:multiLevelType w:val="multilevel"/>
    <w:tmpl w:val="336C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E32A0"/>
    <w:multiLevelType w:val="multilevel"/>
    <w:tmpl w:val="E62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5759B"/>
    <w:multiLevelType w:val="multilevel"/>
    <w:tmpl w:val="0FC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51CAF"/>
    <w:multiLevelType w:val="multilevel"/>
    <w:tmpl w:val="26A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0B"/>
    <w:rsid w:val="005E15F2"/>
    <w:rsid w:val="00743433"/>
    <w:rsid w:val="008A250B"/>
    <w:rsid w:val="00E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7EC02"/>
  <w15:chartTrackingRefBased/>
  <w15:docId w15:val="{3FE1E261-4FBA-7A44-984B-58AE625B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A25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25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mbs-post-date">
    <w:name w:val="dmbs-post-date"/>
    <w:basedOn w:val="Policepardfaut"/>
    <w:rsid w:val="008A250B"/>
  </w:style>
  <w:style w:type="character" w:customStyle="1" w:styleId="apple-converted-space">
    <w:name w:val="apple-converted-space"/>
    <w:basedOn w:val="Policepardfaut"/>
    <w:rsid w:val="008A250B"/>
  </w:style>
  <w:style w:type="character" w:customStyle="1" w:styleId="dmbs-post-author">
    <w:name w:val="dmbs-post-author"/>
    <w:basedOn w:val="Policepardfaut"/>
    <w:rsid w:val="008A250B"/>
  </w:style>
  <w:style w:type="character" w:styleId="Lienhypertexte">
    <w:name w:val="Hyperlink"/>
    <w:basedOn w:val="Policepardfaut"/>
    <w:uiPriority w:val="99"/>
    <w:semiHidden/>
    <w:unhideWhenUsed/>
    <w:rsid w:val="008A250B"/>
    <w:rPr>
      <w:color w:val="0000FF"/>
      <w:u w:val="single"/>
    </w:rPr>
  </w:style>
  <w:style w:type="paragraph" w:customStyle="1" w:styleId="thechampsharinground">
    <w:name w:val="thechampsharinground"/>
    <w:basedOn w:val="Normal"/>
    <w:rsid w:val="008A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hechampfacebooklike">
    <w:name w:val="the_champ_facebook_like"/>
    <w:basedOn w:val="Normal"/>
    <w:rsid w:val="008A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hechampfacebookrecommend">
    <w:name w:val="the_champ_facebook_recommend"/>
    <w:basedOn w:val="Normal"/>
    <w:rsid w:val="008A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A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A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99310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043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46270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med.ncbi.nlm.nih.gov/143497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calcriteria.com/web/es/severe-malnutri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2</cp:revision>
  <dcterms:created xsi:type="dcterms:W3CDTF">2022-05-25T17:52:00Z</dcterms:created>
  <dcterms:modified xsi:type="dcterms:W3CDTF">2022-05-25T18:00:00Z</dcterms:modified>
</cp:coreProperties>
</file>