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72" w:rsidRDefault="004B1172" w:rsidP="004B1172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color w:val="1A1A1A"/>
          <w:sz w:val="26"/>
          <w:szCs w:val="26"/>
          <w:u w:val="single"/>
          <w:lang w:val="en-US"/>
        </w:rPr>
      </w:pPr>
      <w:proofErr w:type="spellStart"/>
      <w:r w:rsidRPr="004B1172">
        <w:rPr>
          <w:rFonts w:eastAsiaTheme="minorEastAsia" w:cs="Arial"/>
          <w:color w:val="1A1A1A"/>
          <w:sz w:val="26"/>
          <w:szCs w:val="26"/>
          <w:u w:val="single"/>
          <w:lang w:val="en-US"/>
        </w:rPr>
        <w:t>Pré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u w:val="single"/>
          <w:lang w:val="en-US"/>
        </w:rPr>
        <w:t>/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u w:val="single"/>
          <w:lang w:val="en-US"/>
        </w:rPr>
        <w:t>probiotique</w:t>
      </w:r>
      <w:proofErr w:type="spellEnd"/>
    </w:p>
    <w:p w:rsidR="004B1172" w:rsidRPr="004B1172" w:rsidRDefault="004B1172" w:rsidP="004B1172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color w:val="1A1A1A"/>
          <w:sz w:val="26"/>
          <w:szCs w:val="26"/>
          <w:lang w:val="en-US"/>
        </w:rPr>
      </w:pPr>
      <w:r w:rsidRPr="004B1172">
        <w:rPr>
          <w:rFonts w:eastAsiaTheme="minorEastAsia" w:cs="Arial"/>
          <w:color w:val="1A1A1A"/>
          <w:sz w:val="26"/>
          <w:szCs w:val="26"/>
          <w:lang w:val="en-US"/>
        </w:rPr>
        <w:t>(JIRP 2013)</w:t>
      </w:r>
    </w:p>
    <w:p w:rsidR="004B1172" w:rsidRDefault="004B1172" w:rsidP="004B1172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</w:p>
    <w:p w:rsidR="004B1172" w:rsidRPr="004B1172" w:rsidRDefault="004B1172" w:rsidP="004B11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  <w:r w:rsidRPr="004B1172">
        <w:rPr>
          <w:rFonts w:eastAsiaTheme="minorEastAsia" w:cs="Arial"/>
          <w:color w:val="1A1A1A"/>
          <w:sz w:val="26"/>
          <w:szCs w:val="26"/>
          <w:lang w:val="en-US"/>
        </w:rPr>
        <w:t>Pro= vivant</w:t>
      </w:r>
    </w:p>
    <w:p w:rsidR="004B1172" w:rsidRPr="004B1172" w:rsidRDefault="004B1172" w:rsidP="004B11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Effet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sur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flore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digestive</w:t>
      </w:r>
    </w:p>
    <w:p w:rsidR="004B1172" w:rsidRPr="004B1172" w:rsidRDefault="004B1172" w:rsidP="004B11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Théorie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hygéniste</w:t>
      </w:r>
      <w:proofErr w:type="spellEnd"/>
    </w:p>
    <w:p w:rsidR="004B1172" w:rsidRDefault="004B1172" w:rsidP="004B1172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</w:p>
    <w:p w:rsidR="004B1172" w:rsidRDefault="004B1172" w:rsidP="004B1172">
      <w:pPr>
        <w:widowControl w:val="0"/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  <w:proofErr w:type="spellStart"/>
      <w:r w:rsidRPr="004B1172">
        <w:rPr>
          <w:rFonts w:eastAsiaTheme="minorEastAsia" w:cs="Arial"/>
          <w:b/>
          <w:color w:val="1A1A1A"/>
          <w:sz w:val="26"/>
          <w:szCs w:val="26"/>
          <w:u w:val="single"/>
          <w:lang w:val="en-US"/>
        </w:rPr>
        <w:t>Lactobacilus</w:t>
      </w:r>
      <w:proofErr w:type="spellEnd"/>
      <w:r w:rsidRPr="004B1172">
        <w:rPr>
          <w:rFonts w:eastAsiaTheme="minorEastAsia" w:cs="Arial"/>
          <w:b/>
          <w:color w:val="1A1A1A"/>
          <w:sz w:val="26"/>
          <w:szCs w:val="26"/>
          <w:u w:val="single"/>
          <w:lang w:val="en-US"/>
        </w:rPr>
        <w:t xml:space="preserve"> </w:t>
      </w:r>
      <w:proofErr w:type="spellStart"/>
      <w:r w:rsidRPr="004B1172">
        <w:rPr>
          <w:rFonts w:eastAsiaTheme="minorEastAsia" w:cs="Arial"/>
          <w:b/>
          <w:color w:val="1A1A1A"/>
          <w:sz w:val="26"/>
          <w:szCs w:val="26"/>
          <w:u w:val="single"/>
          <w:lang w:val="en-US"/>
        </w:rPr>
        <w:t>gg</w:t>
      </w:r>
      <w:proofErr w:type="spellEnd"/>
      <w:r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</w:p>
    <w:p w:rsidR="004B1172" w:rsidRDefault="004B1172" w:rsidP="004B11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  <w:r w:rsidRPr="004B1172">
        <w:rPr>
          <w:rFonts w:eastAsiaTheme="minorEastAsia" w:cs="Arial"/>
          <w:color w:val="1A1A1A"/>
          <w:sz w:val="26"/>
          <w:szCs w:val="26"/>
          <w:lang w:val="en-US"/>
        </w:rPr>
        <w:t>Lancet 2001, P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>ediatrics 2009</w:t>
      </w:r>
      <w:r>
        <w:rPr>
          <w:rFonts w:eastAsiaTheme="minorEastAsia" w:cs="Arial"/>
          <w:color w:val="1A1A1A"/>
          <w:sz w:val="26"/>
          <w:szCs w:val="26"/>
          <w:lang w:val="en-US"/>
        </w:rPr>
        <w:t>: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="Arial"/>
          <w:color w:val="1A1A1A"/>
          <w:sz w:val="26"/>
          <w:szCs w:val="26"/>
          <w:lang w:val="en-US"/>
        </w:rPr>
        <w:t>E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>ffet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controversé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sur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DA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ou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effet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idem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que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LM</w:t>
      </w:r>
      <w:r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</w:p>
    <w:p w:rsidR="004B1172" w:rsidRPr="004B1172" w:rsidRDefault="004B1172" w:rsidP="004B11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Theme="minorEastAsia" w:cs="Arial"/>
          <w:color w:val="1A1A1A"/>
          <w:sz w:val="26"/>
          <w:szCs w:val="26"/>
          <w:lang w:val="en-US"/>
        </w:rPr>
      </w:pPr>
      <w:r w:rsidRPr="004B1172">
        <w:rPr>
          <w:rFonts w:eastAsiaTheme="minorEastAsia" w:cs="Arial"/>
          <w:color w:val="1A1A1A"/>
          <w:sz w:val="26"/>
          <w:szCs w:val="26"/>
          <w:lang w:val="en-US"/>
        </w:rPr>
        <w:t>ESPGHAN 2011:</w:t>
      </w:r>
      <w:r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>P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as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d'effet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pour pro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>-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biotiques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gram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et</w:t>
      </w:r>
      <w:proofErr w:type="gram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doute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d'une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possible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efficacité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pour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pré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>-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>b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>iotiques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dans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lait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2ème age =&gt; P</w:t>
      </w:r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as de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recommandations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claires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.</w:t>
      </w:r>
    </w:p>
    <w:p w:rsidR="004B1172" w:rsidRPr="004B1172" w:rsidRDefault="004B1172" w:rsidP="004B1172">
      <w:pPr>
        <w:pStyle w:val="ListParagraph"/>
        <w:numPr>
          <w:ilvl w:val="0"/>
          <w:numId w:val="1"/>
        </w:numPr>
        <w:ind w:left="-1418"/>
      </w:pPr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Pas de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risque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si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4B1172">
        <w:rPr>
          <w:rFonts w:eastAsiaTheme="minorEastAsia" w:cs="Arial"/>
          <w:color w:val="1A1A1A"/>
          <w:sz w:val="26"/>
          <w:szCs w:val="26"/>
          <w:lang w:val="en-US"/>
        </w:rPr>
        <w:t>atteinte</w:t>
      </w:r>
      <w:proofErr w:type="spellEnd"/>
      <w:r w:rsidRPr="004B1172">
        <w:rPr>
          <w:rFonts w:eastAsiaTheme="minorEastAsia" w:cs="Arial"/>
          <w:color w:val="1A1A1A"/>
          <w:sz w:val="26"/>
          <w:szCs w:val="26"/>
          <w:lang w:val="en-US"/>
        </w:rPr>
        <w:t xml:space="preserve"> digestive </w:t>
      </w:r>
      <w:proofErr w:type="spellStart"/>
      <w:r>
        <w:rPr>
          <w:rFonts w:eastAsiaTheme="minorEastAsia" w:cs="Arial"/>
          <w:color w:val="1A1A1A"/>
          <w:sz w:val="26"/>
          <w:szCs w:val="26"/>
          <w:lang w:val="en-US"/>
        </w:rPr>
        <w:t>sévère</w:t>
      </w:r>
      <w:proofErr w:type="spellEnd"/>
      <w:r>
        <w:rPr>
          <w:rFonts w:eastAsiaTheme="minorEastAsia" w:cs="Arial"/>
          <w:color w:val="1A1A1A"/>
          <w:sz w:val="26"/>
          <w:szCs w:val="26"/>
          <w:lang w:val="en-US"/>
        </w:rPr>
        <w:t xml:space="preserve">=&gt; on le </w:t>
      </w:r>
      <w:proofErr w:type="spellStart"/>
      <w:r>
        <w:rPr>
          <w:rFonts w:eastAsiaTheme="minorEastAsia" w:cs="Arial"/>
          <w:color w:val="1A1A1A"/>
          <w:sz w:val="26"/>
          <w:szCs w:val="26"/>
          <w:lang w:val="en-US"/>
        </w:rPr>
        <w:t>donne</w:t>
      </w:r>
      <w:proofErr w:type="spellEnd"/>
      <w:r>
        <w:rPr>
          <w:rFonts w:eastAsiaTheme="minorEastAsia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="Arial"/>
          <w:color w:val="1A1A1A"/>
          <w:sz w:val="26"/>
          <w:szCs w:val="26"/>
          <w:lang w:val="en-US"/>
        </w:rPr>
        <w:t>si</w:t>
      </w:r>
      <w:proofErr w:type="spellEnd"/>
      <w:r>
        <w:rPr>
          <w:rFonts w:eastAsiaTheme="minorEastAsia" w:cs="Arial"/>
          <w:color w:val="1A1A1A"/>
          <w:sz w:val="26"/>
          <w:szCs w:val="26"/>
          <w:lang w:val="en-US"/>
        </w:rPr>
        <w:t xml:space="preserve"> on </w:t>
      </w:r>
      <w:proofErr w:type="spellStart"/>
      <w:r>
        <w:rPr>
          <w:rFonts w:eastAsiaTheme="minorEastAsia" w:cs="Arial"/>
          <w:color w:val="1A1A1A"/>
          <w:sz w:val="26"/>
          <w:szCs w:val="26"/>
          <w:lang w:val="en-US"/>
        </w:rPr>
        <w:t>veut</w:t>
      </w:r>
      <w:proofErr w:type="spellEnd"/>
    </w:p>
    <w:p w:rsidR="004B1172" w:rsidRDefault="004B1172" w:rsidP="004B1172">
      <w:pPr>
        <w:ind w:left="-1778"/>
      </w:pP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2D96F507" wp14:editId="1342E5F6">
            <wp:extent cx="7461428" cy="5603240"/>
            <wp:effectExtent l="0" t="0" r="6350" b="10160"/>
            <wp:docPr id="1" name="Picture 1" descr="HD:Users:manu:Desktop:Probiotiques (resu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anu:Desktop:Probiotiques (resume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915" cy="56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72" w:rsidRDefault="004B1172" w:rsidP="004B1172">
      <w:pPr>
        <w:ind w:left="6862" w:firstLine="338"/>
      </w:pPr>
      <w:r>
        <w:t>HUG 2009</w:t>
      </w:r>
    </w:p>
    <w:p w:rsidR="00E448F9" w:rsidRDefault="00E448F9" w:rsidP="004B1172">
      <w:bookmarkStart w:id="0" w:name="_GoBack"/>
      <w:bookmarkEnd w:id="0"/>
    </w:p>
    <w:sectPr w:rsidR="00E448F9" w:rsidSect="00E16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FF5"/>
    <w:multiLevelType w:val="hybridMultilevel"/>
    <w:tmpl w:val="3FF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65F1"/>
    <w:multiLevelType w:val="hybridMultilevel"/>
    <w:tmpl w:val="258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3537B"/>
    <w:multiLevelType w:val="hybridMultilevel"/>
    <w:tmpl w:val="A99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72"/>
    <w:rsid w:val="004B1172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72"/>
    <w:rPr>
      <w:rFonts w:ascii="Lucida Grande" w:eastAsia="Helvetica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72"/>
    <w:rPr>
      <w:rFonts w:ascii="Lucida Grande" w:eastAsia="Helvetica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Macintosh Word</Application>
  <DocSecurity>0</DocSecurity>
  <Lines>2</Lines>
  <Paragraphs>1</Paragraphs>
  <ScaleCrop>false</ScaleCrop>
  <Company>-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2013-04-27T12:25:00Z</dcterms:created>
  <dcterms:modified xsi:type="dcterms:W3CDTF">2013-04-27T12:30:00Z</dcterms:modified>
</cp:coreProperties>
</file>